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3"/>
        <w:adjustRightInd w:val="0"/>
        <w:snapToGrid w:val="0"/>
        <w:spacing w:afterLines="50"/>
        <w:rPr>
          <w:rFonts w:ascii="黑体" w:hAnsi="黑体" w:eastAsia="黑体" w:cs="宋体"/>
          <w:sz w:val="32"/>
          <w:szCs w:val="32"/>
        </w:rPr>
      </w:pPr>
      <w:r>
        <w:rPr>
          <w:rFonts w:hint="eastAsia" w:ascii="黑体" w:hAnsi="黑体" w:eastAsia="黑体" w:cs="宋体"/>
          <w:sz w:val="32"/>
          <w:szCs w:val="32"/>
        </w:rPr>
        <w:t>附件2：</w:t>
      </w:r>
    </w:p>
    <w:p>
      <w:pPr>
        <w:pStyle w:val="13"/>
        <w:adjustRightInd w:val="0"/>
        <w:snapToGrid w:val="0"/>
        <w:spacing w:afterLines="50"/>
        <w:ind w:firstLine="562" w:firstLineChars="200"/>
        <w:jc w:val="center"/>
        <w:rPr>
          <w:b/>
          <w:sz w:val="28"/>
          <w:szCs w:val="28"/>
        </w:rPr>
      </w:pPr>
      <w:r>
        <w:rPr>
          <w:rFonts w:hint="eastAsia" w:ascii="宋体" w:hAnsi="宋体" w:eastAsia="宋体" w:cs="宋体"/>
          <w:b/>
          <w:sz w:val="28"/>
          <w:szCs w:val="28"/>
        </w:rPr>
        <w:t>中原农业保险股份有限公司</w:t>
      </w:r>
    </w:p>
    <w:p>
      <w:pPr>
        <w:pStyle w:val="13"/>
        <w:adjustRightInd w:val="0"/>
        <w:snapToGrid w:val="0"/>
        <w:spacing w:afterLines="50"/>
        <w:ind w:firstLine="562" w:firstLineChars="200"/>
        <w:jc w:val="center"/>
        <w:rPr>
          <w:b/>
          <w:bCs/>
          <w:sz w:val="28"/>
          <w:szCs w:val="28"/>
        </w:rPr>
      </w:pPr>
      <w:r>
        <w:rPr>
          <w:rFonts w:hint="eastAsia" w:ascii="宋体" w:hAnsi="宋体" w:eastAsia="宋体" w:cs="宋体"/>
          <w:b/>
          <w:sz w:val="28"/>
          <w:szCs w:val="28"/>
        </w:rPr>
        <w:t>个人意外伤害保险（B款）条款</w:t>
      </w:r>
    </w:p>
    <w:p>
      <w:pPr>
        <w:pStyle w:val="13"/>
        <w:adjustRightInd w:val="0"/>
        <w:snapToGrid w:val="0"/>
        <w:spacing w:afterLines="50"/>
        <w:ind w:firstLine="402" w:firstLineChars="200"/>
        <w:jc w:val="center"/>
        <w:rPr>
          <w:rFonts w:hint="eastAsia" w:ascii="宋体" w:hAnsi="宋体" w:eastAsia="宋体" w:cs="宋体"/>
          <w:b/>
          <w:bCs/>
          <w:color w:val="222222"/>
          <w:sz w:val="20"/>
          <w:szCs w:val="20"/>
          <w:lang w:val="en-US" w:eastAsia="zh-CN"/>
        </w:rPr>
      </w:pPr>
      <w:r>
        <w:rPr>
          <w:rFonts w:hint="eastAsia" w:ascii="宋体" w:hAnsi="宋体" w:eastAsia="宋体" w:cs="宋体"/>
          <w:b/>
          <w:bCs/>
          <w:color w:val="222222"/>
          <w:sz w:val="20"/>
          <w:szCs w:val="20"/>
          <w:lang w:val="en-US" w:eastAsia="zh-CN"/>
        </w:rPr>
        <w:t>注册号：C00019532312020022103101</w:t>
      </w:r>
      <w:bookmarkStart w:id="0" w:name="_GoBack"/>
      <w:bookmarkEnd w:id="0"/>
    </w:p>
    <w:p>
      <w:pPr>
        <w:pStyle w:val="13"/>
        <w:adjustRightInd w:val="0"/>
        <w:snapToGrid w:val="0"/>
        <w:spacing w:afterLines="50"/>
        <w:ind w:firstLine="402" w:firstLineChars="200"/>
        <w:jc w:val="center"/>
        <w:rPr>
          <w:rFonts w:ascii="宋体" w:hAnsi="宋体" w:eastAsia="宋体" w:cs="宋体"/>
          <w:b/>
          <w:bCs/>
          <w:color w:val="222222"/>
          <w:sz w:val="20"/>
          <w:szCs w:val="20"/>
        </w:rPr>
      </w:pPr>
      <w:r>
        <w:rPr>
          <w:rFonts w:hint="eastAsia" w:ascii="宋体" w:hAnsi="宋体" w:eastAsia="宋体" w:cs="宋体"/>
          <w:b/>
          <w:bCs/>
          <w:color w:val="222222"/>
          <w:sz w:val="20"/>
          <w:szCs w:val="20"/>
        </w:rPr>
        <w:t>总则</w:t>
      </w:r>
    </w:p>
    <w:p>
      <w:pPr>
        <w:pStyle w:val="13"/>
        <w:adjustRightInd w:val="0"/>
        <w:snapToGrid w:val="0"/>
        <w:spacing w:afterLines="50"/>
        <w:ind w:firstLine="420"/>
        <w:jc w:val="both"/>
        <w:rPr>
          <w:rFonts w:cs="宋体" w:asciiTheme="majorEastAsia" w:hAnsiTheme="majorEastAsia" w:eastAsiaTheme="majorEastAsia"/>
          <w:sz w:val="21"/>
          <w:szCs w:val="21"/>
        </w:rPr>
      </w:pPr>
      <w:r>
        <w:rPr>
          <w:rFonts w:hint="eastAsia" w:cs="宋体" w:asciiTheme="majorEastAsia" w:hAnsiTheme="majorEastAsia" w:eastAsiaTheme="majorEastAsia"/>
          <w:b/>
          <w:sz w:val="21"/>
          <w:szCs w:val="21"/>
        </w:rPr>
        <w:t>第一条</w:t>
      </w:r>
      <w:r>
        <w:rPr>
          <w:rFonts w:hint="eastAsia" w:cs="宋体" w:asciiTheme="majorEastAsia" w:hAnsiTheme="majorEastAsia" w:eastAsiaTheme="majorEastAsia"/>
          <w:sz w:val="21"/>
          <w:szCs w:val="21"/>
        </w:rPr>
        <w:t xml:space="preserve"> 本保险合同由保险条款、投保单、保险单、保险凭证以及批单等组成。凡涉及本保险合同的约定，均应采用书面形式或电子形式。</w:t>
      </w:r>
    </w:p>
    <w:p>
      <w:pPr>
        <w:pStyle w:val="13"/>
        <w:adjustRightInd w:val="0"/>
        <w:snapToGrid w:val="0"/>
        <w:spacing w:afterLines="50"/>
        <w:ind w:firstLine="422" w:firstLineChars="200"/>
        <w:jc w:val="both"/>
        <w:rPr>
          <w:rFonts w:cs="宋体" w:asciiTheme="majorEastAsia" w:hAnsiTheme="majorEastAsia" w:eastAsiaTheme="majorEastAsia"/>
          <w:color w:val="222222"/>
          <w:sz w:val="21"/>
          <w:szCs w:val="21"/>
        </w:rPr>
      </w:pPr>
      <w:r>
        <w:rPr>
          <w:rFonts w:hint="eastAsia" w:cs="宋体" w:asciiTheme="majorEastAsia" w:hAnsiTheme="majorEastAsia" w:eastAsiaTheme="majorEastAsia"/>
          <w:b/>
          <w:bCs/>
          <w:color w:val="222222"/>
          <w:sz w:val="21"/>
          <w:szCs w:val="21"/>
        </w:rPr>
        <w:t>第二条</w:t>
      </w:r>
      <w:r>
        <w:rPr>
          <w:rFonts w:hint="eastAsia" w:cs="宋体" w:asciiTheme="majorEastAsia" w:hAnsiTheme="majorEastAsia" w:eastAsiaTheme="majorEastAsia"/>
          <w:color w:val="222222"/>
          <w:sz w:val="21"/>
          <w:szCs w:val="21"/>
        </w:rPr>
        <w:t xml:space="preserve"> 凡出生满30天（含第30天）</w:t>
      </w:r>
      <w:r>
        <w:rPr>
          <w:rFonts w:hint="eastAsia" w:cs="宋体" w:asciiTheme="majorEastAsia" w:hAnsiTheme="majorEastAsia" w:eastAsiaTheme="majorEastAsia"/>
          <w:sz w:val="21"/>
          <w:szCs w:val="21"/>
        </w:rPr>
        <w:t>、</w:t>
      </w:r>
      <w:r>
        <w:rPr>
          <w:rFonts w:hint="eastAsia" w:cs="宋体" w:asciiTheme="majorEastAsia" w:hAnsiTheme="majorEastAsia" w:eastAsiaTheme="majorEastAsia"/>
          <w:color w:val="222222"/>
          <w:sz w:val="21"/>
          <w:szCs w:val="21"/>
        </w:rPr>
        <w:t>未满100周岁（不含100周岁）的身体健康、能正常工作或正常生活的自然人均可作为本保险合同的被保险人。</w:t>
      </w:r>
    </w:p>
    <w:p>
      <w:pPr>
        <w:pStyle w:val="13"/>
        <w:adjustRightInd w:val="0"/>
        <w:snapToGrid w:val="0"/>
        <w:spacing w:afterLines="50"/>
        <w:ind w:firstLine="422" w:firstLineChars="200"/>
        <w:jc w:val="both"/>
        <w:rPr>
          <w:rFonts w:ascii="宋体" w:hAnsi="宋体" w:eastAsia="宋体" w:cs="宋体"/>
          <w:b/>
          <w:bCs/>
          <w:sz w:val="21"/>
          <w:szCs w:val="21"/>
        </w:rPr>
      </w:pPr>
      <w:r>
        <w:rPr>
          <w:rFonts w:hint="eastAsia" w:cs="宋体" w:asciiTheme="majorEastAsia" w:hAnsiTheme="majorEastAsia" w:eastAsiaTheme="majorEastAsia"/>
          <w:b/>
          <w:bCs/>
          <w:color w:val="222222"/>
          <w:sz w:val="21"/>
          <w:szCs w:val="21"/>
        </w:rPr>
        <w:t>第三条</w:t>
      </w:r>
      <w:r>
        <w:rPr>
          <w:rFonts w:hint="eastAsia" w:cs="宋体" w:asciiTheme="majorEastAsia" w:hAnsiTheme="majorEastAsia" w:eastAsiaTheme="majorEastAsia"/>
          <w:color w:val="222222"/>
          <w:sz w:val="21"/>
          <w:szCs w:val="21"/>
        </w:rPr>
        <w:t xml:space="preserve"> </w:t>
      </w:r>
      <w:r>
        <w:rPr>
          <w:rFonts w:hint="eastAsia" w:ascii="宋体" w:hAnsi="宋体" w:eastAsia="宋体" w:cs="宋体"/>
          <w:sz w:val="21"/>
          <w:szCs w:val="21"/>
        </w:rPr>
        <w:t>具有完全民事行为能力的被保险人本人、对被保险人有保险利益的其他人可作为本保险合同的投保人。</w:t>
      </w:r>
      <w:r>
        <w:rPr>
          <w:rFonts w:hint="eastAsia" w:ascii="宋体" w:hAnsi="宋体" w:eastAsia="宋体" w:cs="宋体"/>
          <w:b/>
          <w:bCs/>
          <w:sz w:val="21"/>
          <w:szCs w:val="21"/>
        </w:rPr>
        <w:t>被保险人为限制民事行为能力人或无民事行为能力人的，应由其父母或者法定监护人作为投保人。</w:t>
      </w:r>
    </w:p>
    <w:p>
      <w:pPr>
        <w:spacing w:afterLines="50"/>
        <w:ind w:right="-47" w:firstLine="422" w:firstLineChars="200"/>
        <w:rPr>
          <w:rFonts w:ascii="宋体" w:cs="宋体"/>
          <w:b/>
          <w:bCs/>
          <w:color w:val="403F3D"/>
          <w:szCs w:val="21"/>
        </w:rPr>
      </w:pPr>
      <w:r>
        <w:rPr>
          <w:rFonts w:hint="eastAsia" w:ascii="宋体" w:eastAsia="宋体" w:cs="宋体"/>
          <w:b/>
          <w:bCs/>
          <w:color w:val="403F3D"/>
          <w:sz w:val="21"/>
          <w:szCs w:val="21"/>
        </w:rPr>
        <w:t>对于父母为其未成年子女投保的人身保险，在被保险人成年之前，本保险合同与其他保险合同约定的被保险人死亡给付的保险金额总和、被保险人死亡时本保险人与其他保险人实际给付的保险金总和</w:t>
      </w:r>
      <w:r>
        <w:rPr>
          <w:rFonts w:hint="eastAsia" w:ascii="宋体" w:eastAsia="宋体" w:cs="宋体"/>
          <w:b/>
          <w:bCs/>
          <w:sz w:val="21"/>
          <w:szCs w:val="21"/>
        </w:rPr>
        <w:t>，</w:t>
      </w:r>
      <w:r>
        <w:rPr>
          <w:rFonts w:hint="eastAsia" w:ascii="宋体" w:eastAsia="宋体" w:cs="宋体"/>
          <w:b/>
          <w:bCs/>
          <w:color w:val="403F3D"/>
          <w:sz w:val="21"/>
          <w:szCs w:val="21"/>
        </w:rPr>
        <w:t>均不得违反中国银行保险监督管理委员会关于父母为其未成年子女投保以死亡为给付保险金条件人身保险的相关规定。</w:t>
      </w:r>
    </w:p>
    <w:p>
      <w:pPr>
        <w:pStyle w:val="13"/>
        <w:adjustRightInd w:val="0"/>
        <w:snapToGrid w:val="0"/>
        <w:spacing w:afterLines="50"/>
        <w:ind w:firstLine="422" w:firstLineChars="200"/>
        <w:jc w:val="both"/>
        <w:rPr>
          <w:rFonts w:cs="宋体" w:asciiTheme="majorEastAsia" w:hAnsiTheme="majorEastAsia" w:eastAsiaTheme="majorEastAsia"/>
          <w:color w:val="222222"/>
          <w:sz w:val="21"/>
          <w:szCs w:val="21"/>
        </w:rPr>
      </w:pPr>
      <w:r>
        <w:rPr>
          <w:rFonts w:hint="eastAsia" w:cs="宋体" w:asciiTheme="majorEastAsia" w:hAnsiTheme="majorEastAsia" w:eastAsiaTheme="majorEastAsia"/>
          <w:b/>
          <w:bCs/>
          <w:color w:val="222222"/>
          <w:sz w:val="21"/>
          <w:szCs w:val="21"/>
        </w:rPr>
        <w:t>第四条</w:t>
      </w:r>
      <w:r>
        <w:rPr>
          <w:rFonts w:hint="eastAsia" w:cs="宋体" w:asciiTheme="majorEastAsia" w:hAnsiTheme="majorEastAsia" w:eastAsiaTheme="majorEastAsia"/>
          <w:color w:val="222222"/>
          <w:sz w:val="21"/>
          <w:szCs w:val="21"/>
        </w:rPr>
        <w:t xml:space="preserve"> 本合同的受益人包括：</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（一）身故保险金受益人</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订立本合同时，被保险人或投保人可指定一人或数人为身故保险金受益人。身故保险金受益人为数人时，应确定其受益顺序和受益份额；</w:t>
      </w:r>
      <w:r>
        <w:rPr>
          <w:rFonts w:hint="eastAsia" w:cs="宋体" w:asciiTheme="majorEastAsia" w:hAnsiTheme="majorEastAsia" w:eastAsiaTheme="majorEastAsia"/>
          <w:b/>
          <w:sz w:val="21"/>
          <w:szCs w:val="21"/>
        </w:rPr>
        <w:t>未确定受益份额的，各身故保险金受益人按照相等份额享有受益权。</w:t>
      </w:r>
      <w:r>
        <w:rPr>
          <w:rFonts w:hint="eastAsia" w:ascii="宋体" w:hAnsi="宋体" w:eastAsia="宋体" w:cs="宋体"/>
          <w:b/>
          <w:bCs/>
          <w:sz w:val="21"/>
          <w:szCs w:val="21"/>
        </w:rPr>
        <w:t>投保人指定受益人时须经被保险人同意。</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被保险人死亡后，有下列情形之一的，保险金作为被保险人的遗产，由保险人依照《中华人民共和国继承法》的规定履行给付保险金的义务：</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1.没有指定受益人，或者受益人指定不明无法确定的；</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2.受益人先于被保险人死亡，没有其他受益人的；</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3.受益人依法丧失受益权或者放弃受益权，没有其他受益人的。</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受益人与被保险人在同一事件中死亡，且不能确定死亡先后顺序的，推定受益人死亡在先。</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被保险人或投保人可以变更身故保险金受益人，但需书面通知保险人，由保险人在本保险合同上批注。</w:t>
      </w:r>
      <w:r>
        <w:rPr>
          <w:rFonts w:hint="eastAsia" w:cs="宋体" w:asciiTheme="majorEastAsia" w:hAnsiTheme="majorEastAsia" w:eastAsiaTheme="majorEastAsia"/>
          <w:b/>
          <w:color w:val="222222"/>
          <w:sz w:val="21"/>
          <w:szCs w:val="21"/>
        </w:rPr>
        <w:t>对因身故保险金受益人变更发生的法律纠纷，保险人不承担任何责任。</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（二）伤残保险金受益人</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除另有约定外，本保险合同的伤残保险金的受益人为被保险人本人。</w:t>
      </w:r>
    </w:p>
    <w:p>
      <w:pPr>
        <w:pStyle w:val="13"/>
        <w:adjustRightInd w:val="0"/>
        <w:snapToGrid w:val="0"/>
        <w:spacing w:afterLines="50"/>
        <w:ind w:firstLine="422" w:firstLineChars="200"/>
        <w:jc w:val="center"/>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保险责任</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第五条 </w:t>
      </w:r>
      <w:r>
        <w:rPr>
          <w:rFonts w:hint="eastAsia" w:cs="宋体" w:asciiTheme="majorEastAsia" w:hAnsiTheme="majorEastAsia" w:eastAsiaTheme="majorEastAsia"/>
          <w:sz w:val="21"/>
          <w:szCs w:val="21"/>
        </w:rPr>
        <w:t>在保险期间内，被保险人因遭受意外伤害</w:t>
      </w:r>
      <w:r>
        <w:rPr>
          <w:rFonts w:cs="宋体" w:asciiTheme="majorEastAsia" w:hAnsiTheme="majorEastAsia" w:eastAsiaTheme="majorEastAsia"/>
          <w:sz w:val="21"/>
          <w:szCs w:val="21"/>
        </w:rPr>
        <w:t>事故导致身故、伤残的，保险人依照下列约定给付保险金</w:t>
      </w:r>
      <w:r>
        <w:rPr>
          <w:rFonts w:hint="eastAsia" w:cs="宋体" w:asciiTheme="majorEastAsia" w:hAnsiTheme="majorEastAsia" w:eastAsiaTheme="majorEastAsia"/>
          <w:sz w:val="21"/>
          <w:szCs w:val="21"/>
        </w:rPr>
        <w:t>，且给付各项保险金之和不超过保险金额。</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（一）身故保险责任</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在保险期间内，被保险人遭受意外伤害事故，并自该事故发生之日起180日（含第180 日）内因该事故身故的，保险人按保险金额给付意外身故保险金，对该被保险人的保险责任终止。</w:t>
      </w:r>
    </w:p>
    <w:p>
      <w:pPr>
        <w:pStyle w:val="13"/>
        <w:adjustRightInd w:val="0"/>
        <w:snapToGrid w:val="0"/>
        <w:spacing w:afterLines="50"/>
        <w:ind w:firstLine="420" w:firstLineChars="200"/>
        <w:jc w:val="both"/>
        <w:rPr>
          <w:rFonts w:cs="宋体" w:asciiTheme="majorEastAsia" w:hAnsiTheme="majorEastAsia" w:eastAsiaTheme="majorEastAsia"/>
          <w:b/>
          <w:color w:val="222222"/>
          <w:sz w:val="21"/>
          <w:szCs w:val="21"/>
        </w:rPr>
      </w:pPr>
      <w:r>
        <w:rPr>
          <w:rFonts w:hint="eastAsia" w:cs="宋体" w:asciiTheme="majorEastAsia" w:hAnsiTheme="majorEastAsia" w:eastAsiaTheme="majorEastAsia"/>
          <w:color w:val="222222"/>
          <w:sz w:val="21"/>
          <w:szCs w:val="21"/>
        </w:rPr>
        <w:t>被保险人因遭受意外伤害事故且自该事故发生之日起下落不明，后经人民法院宣告死亡的，保险人按保险金额给付身故保险金。</w:t>
      </w:r>
      <w:r>
        <w:rPr>
          <w:rFonts w:hint="eastAsia" w:cs="宋体" w:asciiTheme="majorEastAsia" w:hAnsiTheme="majorEastAsia" w:eastAsiaTheme="majorEastAsia"/>
          <w:b/>
          <w:color w:val="222222"/>
          <w:sz w:val="21"/>
          <w:szCs w:val="21"/>
        </w:rPr>
        <w:t>但若被保险人被宣告死亡后生还的，保险金受领人应于知道或应当知道被保险人生还后30日内退还保险人给付的身故保险金。</w:t>
      </w:r>
    </w:p>
    <w:p>
      <w:pPr>
        <w:pStyle w:val="41"/>
        <w:snapToGrid/>
        <w:spacing w:afterLines="50"/>
        <w:ind w:left="0" w:leftChars="0" w:firstLine="422"/>
        <w:rPr>
          <w:rFonts w:asciiTheme="majorEastAsia" w:hAnsiTheme="majorEastAsia" w:eastAsiaTheme="majorEastAsia"/>
          <w:szCs w:val="21"/>
        </w:rPr>
      </w:pPr>
      <w:r>
        <w:rPr>
          <w:rFonts w:hint="eastAsia" w:ascii="宋体" w:hAnsi="宋体" w:cs="宋体"/>
          <w:b/>
          <w:szCs w:val="21"/>
        </w:rPr>
        <w:t>被保险人身故前保险人已给付本条第（二）款约定的伤残保险金的，身故保险金应扣除已给付的保险金。</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（二）伤残保险责任</w:t>
      </w:r>
    </w:p>
    <w:p>
      <w:pPr>
        <w:pStyle w:val="41"/>
        <w:snapToGrid/>
        <w:spacing w:afterLines="50"/>
        <w:ind w:left="0" w:leftChars="0"/>
        <w:rPr>
          <w:rFonts w:ascii="宋体" w:hAnsi="宋体" w:cs="宋体"/>
          <w:szCs w:val="21"/>
        </w:rPr>
      </w:pPr>
      <w:r>
        <w:rPr>
          <w:rFonts w:hint="eastAsia" w:cs="宋体" w:asciiTheme="majorEastAsia" w:hAnsiTheme="majorEastAsia" w:eastAsiaTheme="majorEastAsia"/>
          <w:color w:val="222222"/>
          <w:szCs w:val="21"/>
        </w:rPr>
        <w:t>在保险期间内，被保险人遭受意外伤害事故，并自该事故发生之日起180日（含第180日）内因该事故造成《人身保险伤残评定标准及代码》（原保监会发布，保监发[2014]</w:t>
      </w:r>
      <w:r>
        <w:rPr>
          <w:rFonts w:hint="eastAsia" w:cs="宋体" w:asciiTheme="majorEastAsia" w:hAnsiTheme="majorEastAsia" w:eastAsiaTheme="majorEastAsia"/>
          <w:color w:val="222222"/>
          <w:szCs w:val="21"/>
          <w:lang w:val="en-US" w:eastAsia="zh-CN"/>
        </w:rPr>
        <w:t>6</w:t>
      </w:r>
      <w:r>
        <w:rPr>
          <w:rFonts w:hint="eastAsia" w:cs="宋体" w:asciiTheme="majorEastAsia" w:hAnsiTheme="majorEastAsia" w:eastAsiaTheme="majorEastAsia"/>
          <w:color w:val="222222"/>
          <w:szCs w:val="21"/>
        </w:rPr>
        <w:t>号，中华人民共和国金融行业标准，标准编号：JR/T0083-2013，以下简称“《评定标准及代码》”）所列伤残程度之一的，保险人按《评定标准及代码》所列给付比例乘以保险金额给付意外伤残保险金。</w:t>
      </w:r>
      <w:r>
        <w:rPr>
          <w:rFonts w:hint="eastAsia" w:ascii="宋体" w:hAnsi="宋体" w:cs="宋体"/>
          <w:szCs w:val="21"/>
        </w:rPr>
        <w:t>如第180日治疗仍未结束的，按当日的身体情况进行伤残鉴定，并据此给付伤残保险金。</w:t>
      </w:r>
    </w:p>
    <w:p>
      <w:pPr>
        <w:adjustRightInd w:val="0"/>
        <w:snapToGrid w:val="0"/>
        <w:spacing w:beforeLines="50"/>
        <w:ind w:firstLine="420" w:firstLineChars="200"/>
        <w:rPr>
          <w:b/>
          <w:bCs/>
          <w:sz w:val="21"/>
          <w:szCs w:val="21"/>
        </w:rPr>
      </w:pPr>
      <w:r>
        <w:rPr>
          <w:rFonts w:hint="eastAsia"/>
          <w:sz w:val="21"/>
          <w:szCs w:val="21"/>
        </w:rPr>
        <w:t>1.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同一部位和性质的伤残，不应采用</w:t>
      </w:r>
      <w:r>
        <w:rPr>
          <w:spacing w:val="5"/>
          <w:sz w:val="21"/>
          <w:szCs w:val="21"/>
        </w:rPr>
        <w:t>《</w:t>
      </w:r>
      <w:r>
        <w:rPr>
          <w:rFonts w:hint="eastAsia"/>
          <w:spacing w:val="5"/>
          <w:sz w:val="21"/>
          <w:szCs w:val="21"/>
        </w:rPr>
        <w:t>评定标准及代码</w:t>
      </w:r>
      <w:r>
        <w:rPr>
          <w:spacing w:val="5"/>
          <w:sz w:val="21"/>
          <w:szCs w:val="21"/>
        </w:rPr>
        <w:t>》</w:t>
      </w:r>
      <w:r>
        <w:rPr>
          <w:rFonts w:hint="eastAsia"/>
          <w:sz w:val="21"/>
          <w:szCs w:val="21"/>
        </w:rPr>
        <w:t>条文两条以上或者同一条文两次以上进行评定</w:t>
      </w:r>
      <w:r>
        <w:rPr>
          <w:rFonts w:hint="eastAsia"/>
          <w:b/>
          <w:bCs/>
          <w:sz w:val="21"/>
          <w:szCs w:val="21"/>
        </w:rPr>
        <w:t>。</w:t>
      </w:r>
    </w:p>
    <w:p>
      <w:pPr>
        <w:adjustRightInd w:val="0"/>
        <w:snapToGrid w:val="0"/>
        <w:spacing w:beforeLines="50"/>
        <w:ind w:firstLine="422" w:firstLineChars="200"/>
        <w:rPr>
          <w:b/>
          <w:bCs/>
          <w:sz w:val="21"/>
          <w:szCs w:val="21"/>
        </w:rPr>
      </w:pPr>
      <w:r>
        <w:rPr>
          <w:rFonts w:hint="eastAsia"/>
          <w:b/>
          <w:bCs/>
          <w:sz w:val="21"/>
          <w:szCs w:val="21"/>
        </w:rPr>
        <w:t>2.被保险人如在本次意外事故之前已有伤残，保险人按合并后的伤残程度在</w:t>
      </w:r>
      <w:r>
        <w:rPr>
          <w:b/>
          <w:bCs/>
          <w:spacing w:val="5"/>
          <w:sz w:val="21"/>
          <w:szCs w:val="21"/>
        </w:rPr>
        <w:t>《</w:t>
      </w:r>
      <w:r>
        <w:rPr>
          <w:rFonts w:hint="eastAsia"/>
          <w:b/>
          <w:bCs/>
          <w:spacing w:val="5"/>
          <w:sz w:val="21"/>
          <w:szCs w:val="21"/>
        </w:rPr>
        <w:t>评定标准及代码</w:t>
      </w:r>
      <w:r>
        <w:rPr>
          <w:b/>
          <w:bCs/>
          <w:spacing w:val="5"/>
          <w:sz w:val="21"/>
          <w:szCs w:val="21"/>
        </w:rPr>
        <w:t>》</w:t>
      </w:r>
      <w:r>
        <w:rPr>
          <w:rFonts w:hint="eastAsia"/>
          <w:b/>
          <w:bCs/>
          <w:sz w:val="21"/>
          <w:szCs w:val="21"/>
        </w:rPr>
        <w:t>中所对应的给付比例给付伤残保险金，但应扣除原有伤残程度在</w:t>
      </w:r>
      <w:r>
        <w:rPr>
          <w:b/>
          <w:bCs/>
          <w:spacing w:val="5"/>
          <w:sz w:val="21"/>
          <w:szCs w:val="21"/>
        </w:rPr>
        <w:t>《</w:t>
      </w:r>
      <w:r>
        <w:rPr>
          <w:rFonts w:hint="eastAsia"/>
          <w:b/>
          <w:bCs/>
          <w:spacing w:val="5"/>
          <w:sz w:val="21"/>
          <w:szCs w:val="21"/>
        </w:rPr>
        <w:t>评定标准及代码</w:t>
      </w:r>
      <w:r>
        <w:rPr>
          <w:b/>
          <w:bCs/>
          <w:spacing w:val="5"/>
          <w:sz w:val="21"/>
          <w:szCs w:val="21"/>
        </w:rPr>
        <w:t>》</w:t>
      </w:r>
      <w:r>
        <w:rPr>
          <w:rFonts w:hint="eastAsia"/>
          <w:b/>
          <w:bCs/>
          <w:sz w:val="21"/>
          <w:szCs w:val="21"/>
        </w:rPr>
        <w:t>中所对应的伤残保险金。</w:t>
      </w:r>
    </w:p>
    <w:p>
      <w:pPr>
        <w:adjustRightInd w:val="0"/>
        <w:snapToGrid w:val="0"/>
        <w:spacing w:beforeLines="50"/>
        <w:ind w:firstLine="422" w:firstLineChars="200"/>
        <w:rPr>
          <w:rFonts w:ascii="宋体" w:hAnsi="宋体"/>
          <w:b/>
          <w:sz w:val="21"/>
          <w:szCs w:val="21"/>
        </w:rPr>
      </w:pPr>
      <w:r>
        <w:rPr>
          <w:rFonts w:ascii="宋体" w:hAnsi="宋体"/>
          <w:b/>
          <w:sz w:val="21"/>
          <w:szCs w:val="21"/>
        </w:rPr>
        <w:t>在保险期间内</w:t>
      </w:r>
      <w:r>
        <w:rPr>
          <w:rFonts w:hint="eastAsia" w:ascii="宋体" w:hAnsi="宋体"/>
          <w:b/>
          <w:sz w:val="21"/>
          <w:szCs w:val="21"/>
        </w:rPr>
        <w:t>，</w:t>
      </w:r>
      <w:r>
        <w:rPr>
          <w:rFonts w:ascii="宋体" w:hAnsi="宋体"/>
          <w:b/>
          <w:sz w:val="21"/>
          <w:szCs w:val="21"/>
        </w:rPr>
        <w:t>前述第</w:t>
      </w:r>
      <w:r>
        <w:rPr>
          <w:rFonts w:hint="eastAsia" w:ascii="宋体" w:hAnsi="宋体"/>
          <w:b/>
          <w:sz w:val="21"/>
          <w:szCs w:val="21"/>
        </w:rPr>
        <w:t>（一）、（二）款下的保险金累计给付金额以保险单载明的保险金额为限。</w:t>
      </w:r>
    </w:p>
    <w:p>
      <w:pPr>
        <w:pStyle w:val="13"/>
        <w:adjustRightInd w:val="0"/>
        <w:snapToGrid w:val="0"/>
        <w:spacing w:afterLines="50"/>
        <w:ind w:firstLine="422" w:firstLineChars="200"/>
        <w:jc w:val="center"/>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责任免除</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第六条 因下列原因造成被保险人身故、伤残的，保险人不承担给付保险金责任：</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（一）投保人的故意行为；</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（二）被保险人自致伤害或自杀，但被保险人自杀时为无民事行为能力人的除外；</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（三）因被保险人挑衅或故意行为而导致的打斗、被袭击或被谋杀；</w:t>
      </w:r>
    </w:p>
    <w:p>
      <w:pPr>
        <w:pStyle w:val="13"/>
        <w:adjustRightInd w:val="0"/>
        <w:snapToGrid w:val="0"/>
        <w:spacing w:afterLines="50"/>
        <w:ind w:firstLine="422" w:firstLineChars="200"/>
        <w:jc w:val="both"/>
        <w:rPr>
          <w:rFonts w:cs="宋体" w:asciiTheme="majorEastAsia" w:hAnsiTheme="majorEastAsia" w:eastAsiaTheme="majorEastAsia"/>
          <w:b/>
          <w:color w:val="222222"/>
          <w:sz w:val="21"/>
          <w:szCs w:val="21"/>
        </w:rPr>
      </w:pPr>
      <w:r>
        <w:rPr>
          <w:rFonts w:hint="eastAsia" w:cs="宋体" w:asciiTheme="majorEastAsia" w:hAnsiTheme="majorEastAsia" w:eastAsiaTheme="majorEastAsia"/>
          <w:b/>
          <w:color w:val="222222"/>
          <w:sz w:val="21"/>
          <w:szCs w:val="21"/>
        </w:rPr>
        <w:t>（四）被保险人妊娠（含宫外孕）、流产（含任何原因所导致的流产和人工流产）、分娩（含剖腹产）、疾病、药物过敏、食物中毒；</w:t>
      </w:r>
    </w:p>
    <w:p>
      <w:pPr>
        <w:pStyle w:val="13"/>
        <w:adjustRightInd w:val="0"/>
        <w:snapToGrid w:val="0"/>
        <w:spacing w:afterLines="50"/>
        <w:ind w:firstLine="422" w:firstLineChars="200"/>
        <w:jc w:val="both"/>
        <w:rPr>
          <w:rFonts w:cs="宋体" w:asciiTheme="majorEastAsia" w:hAnsiTheme="majorEastAsia" w:eastAsiaTheme="majorEastAsia"/>
          <w:b/>
          <w:color w:val="222222"/>
          <w:sz w:val="21"/>
          <w:szCs w:val="21"/>
        </w:rPr>
      </w:pPr>
      <w:r>
        <w:rPr>
          <w:rFonts w:hint="eastAsia" w:cs="宋体" w:asciiTheme="majorEastAsia" w:hAnsiTheme="majorEastAsia" w:eastAsiaTheme="majorEastAsia"/>
          <w:b/>
          <w:color w:val="222222"/>
          <w:sz w:val="21"/>
          <w:szCs w:val="21"/>
        </w:rPr>
        <w:t>（五）被保险人因遭受意外伤害以外的原因失踪而被法院宣告死亡者；</w:t>
      </w:r>
    </w:p>
    <w:p>
      <w:pPr>
        <w:pStyle w:val="13"/>
        <w:adjustRightInd w:val="0"/>
        <w:snapToGrid w:val="0"/>
        <w:spacing w:afterLines="50"/>
        <w:ind w:firstLine="422" w:firstLineChars="200"/>
        <w:jc w:val="both"/>
        <w:rPr>
          <w:rFonts w:cs="宋体" w:asciiTheme="majorEastAsia" w:hAnsiTheme="majorEastAsia" w:eastAsiaTheme="majorEastAsia"/>
          <w:b/>
          <w:color w:val="222222"/>
          <w:sz w:val="21"/>
          <w:szCs w:val="21"/>
        </w:rPr>
      </w:pPr>
      <w:r>
        <w:rPr>
          <w:rFonts w:hint="eastAsia" w:cs="宋体" w:asciiTheme="majorEastAsia" w:hAnsiTheme="majorEastAsia" w:eastAsiaTheme="majorEastAsia"/>
          <w:b/>
          <w:color w:val="222222"/>
          <w:sz w:val="21"/>
          <w:szCs w:val="21"/>
        </w:rPr>
        <w:t>（六）被保险人未遵医嘱，私自服用、涂用、注射药物；</w:t>
      </w:r>
    </w:p>
    <w:p>
      <w:pPr>
        <w:pStyle w:val="13"/>
        <w:adjustRightInd w:val="0"/>
        <w:snapToGrid w:val="0"/>
        <w:spacing w:afterLines="50"/>
        <w:ind w:firstLine="422" w:firstLineChars="200"/>
        <w:jc w:val="both"/>
        <w:rPr>
          <w:rFonts w:ascii="宋体" w:hAnsi="宋体" w:cs="宋体"/>
          <w:b/>
          <w:bCs/>
          <w:sz w:val="21"/>
          <w:szCs w:val="21"/>
        </w:rPr>
      </w:pPr>
      <w:r>
        <w:rPr>
          <w:rFonts w:hint="eastAsia" w:cs="宋体" w:asciiTheme="majorEastAsia" w:hAnsiTheme="majorEastAsia" w:eastAsiaTheme="majorEastAsia"/>
          <w:b/>
          <w:color w:val="222222"/>
          <w:sz w:val="21"/>
          <w:szCs w:val="21"/>
        </w:rPr>
        <w:t>（七）</w:t>
      </w:r>
      <w:r>
        <w:rPr>
          <w:rFonts w:hint="eastAsia" w:ascii="宋体" w:hAnsi="宋体" w:cs="宋体"/>
          <w:b/>
          <w:bCs/>
          <w:sz w:val="21"/>
          <w:szCs w:val="21"/>
        </w:rPr>
        <w:t>任何生物、化学、原子能武器，原子能或核能装置所造成的爆炸、灼伤、污染或辐射；</w:t>
      </w:r>
    </w:p>
    <w:p>
      <w:pPr>
        <w:pStyle w:val="13"/>
        <w:adjustRightInd w:val="0"/>
        <w:snapToGrid w:val="0"/>
        <w:spacing w:afterLines="50"/>
        <w:ind w:firstLine="422" w:firstLineChars="200"/>
        <w:jc w:val="both"/>
        <w:rPr>
          <w:rFonts w:cs="宋体" w:asciiTheme="majorEastAsia" w:hAnsiTheme="majorEastAsia" w:eastAsiaTheme="majorEastAsia"/>
          <w:b/>
          <w:color w:val="222222"/>
          <w:sz w:val="21"/>
          <w:szCs w:val="21"/>
        </w:rPr>
      </w:pPr>
      <w:r>
        <w:rPr>
          <w:rFonts w:hint="eastAsia" w:cs="宋体" w:asciiTheme="majorEastAsia" w:hAnsiTheme="majorEastAsia" w:eastAsiaTheme="majorEastAsia"/>
          <w:b/>
          <w:color w:val="222222"/>
          <w:sz w:val="21"/>
          <w:szCs w:val="21"/>
        </w:rPr>
        <w:t>（八）恐怖袭击；</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（九）被保险人因接受检查、麻醉、整容手术及其它内外科手术、药物治疗等导致的意外。</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第七条 被保险人在下列期间遭受意外伤害导致身故、伤残的，保险人不承担给付保险金责任：</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（一）战争、军事行动、暴动或武装叛乱期间；</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（二）被保险人酒后驾驶、无合法有效驾驶证驾驶、或驾驶无合法有效行驶证的机动车期间；</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（三）被保险人在酒精或服用、吸食、注射毒品、管制药品的影响期间；</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（四）</w:t>
      </w:r>
      <w:r>
        <w:rPr>
          <w:rFonts w:hint="eastAsia" w:ascii="宋体" w:hAnsi="宋体" w:cs="宋体"/>
          <w:b/>
          <w:bCs/>
          <w:sz w:val="21"/>
          <w:szCs w:val="21"/>
        </w:rPr>
        <w:t>被保险人从事违法、犯罪活动期间或被依法拘留、服刑期间</w:t>
      </w:r>
      <w:r>
        <w:rPr>
          <w:rFonts w:hint="eastAsia" w:cs="宋体" w:asciiTheme="majorEastAsia" w:hAnsiTheme="majorEastAsia" w:eastAsiaTheme="majorEastAsia"/>
          <w:b/>
          <w:color w:val="222222"/>
          <w:sz w:val="21"/>
          <w:szCs w:val="21"/>
        </w:rPr>
        <w:t>；</w:t>
      </w:r>
    </w:p>
    <w:p>
      <w:pPr>
        <w:pStyle w:val="13"/>
        <w:adjustRightInd w:val="0"/>
        <w:snapToGrid w:val="0"/>
        <w:spacing w:afterLines="50"/>
        <w:ind w:firstLine="422" w:firstLineChars="200"/>
        <w:jc w:val="both"/>
        <w:rPr>
          <w:rFonts w:cs="宋体" w:asciiTheme="majorEastAsia" w:hAnsiTheme="majorEastAsia" w:eastAsiaTheme="majorEastAsia"/>
          <w:b/>
          <w:color w:val="222222"/>
          <w:sz w:val="21"/>
          <w:szCs w:val="21"/>
        </w:rPr>
      </w:pPr>
      <w:r>
        <w:rPr>
          <w:rFonts w:hint="eastAsia" w:cs="宋体" w:asciiTheme="majorEastAsia" w:hAnsiTheme="majorEastAsia" w:eastAsiaTheme="majorEastAsia"/>
          <w:b/>
          <w:color w:val="222222"/>
          <w:sz w:val="21"/>
          <w:szCs w:val="21"/>
        </w:rPr>
        <w:t>（五）被保险人存在精神和行为障碍（以世界卫生组织颁布的《疾病和有关健康问题的国际统计分类（</w:t>
      </w:r>
      <w:r>
        <w:rPr>
          <w:rFonts w:cs="宋体" w:asciiTheme="majorEastAsia" w:hAnsiTheme="majorEastAsia" w:eastAsiaTheme="majorEastAsia"/>
          <w:b/>
          <w:color w:val="222222"/>
          <w:sz w:val="21"/>
          <w:szCs w:val="21"/>
        </w:rPr>
        <w:t>ICD-10）》</w:t>
      </w:r>
      <w:r>
        <w:rPr>
          <w:rFonts w:hint="eastAsia" w:cs="宋体" w:asciiTheme="majorEastAsia" w:hAnsiTheme="majorEastAsia" w:eastAsiaTheme="majorEastAsia"/>
          <w:b/>
          <w:color w:val="222222"/>
          <w:sz w:val="21"/>
          <w:szCs w:val="21"/>
        </w:rPr>
        <w:t>为准）期间（包括但不限于服药治疗或心理行为治疗期间）;</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（六）</w:t>
      </w:r>
      <w:r>
        <w:rPr>
          <w:rFonts w:hint="eastAsia" w:ascii="宋体" w:hAnsi="宋体" w:eastAsia="宋体" w:cs="宋体"/>
          <w:b/>
          <w:bCs/>
          <w:sz w:val="21"/>
          <w:szCs w:val="21"/>
        </w:rPr>
        <w:t>被保险人患有艾滋病（AIDS）或感染艾滋病病毒（HIV）期间</w:t>
      </w:r>
      <w:r>
        <w:rPr>
          <w:rFonts w:hint="eastAsia" w:cs="宋体" w:asciiTheme="majorEastAsia" w:hAnsiTheme="majorEastAsia" w:eastAsiaTheme="majorEastAsia"/>
          <w:b/>
          <w:color w:val="222222"/>
          <w:sz w:val="21"/>
          <w:szCs w:val="21"/>
        </w:rPr>
        <w:t>；</w:t>
      </w:r>
    </w:p>
    <w:p>
      <w:pPr>
        <w:pStyle w:val="13"/>
        <w:adjustRightInd w:val="0"/>
        <w:snapToGrid w:val="0"/>
        <w:spacing w:afterLines="50"/>
        <w:ind w:firstLine="422" w:firstLineChars="200"/>
        <w:jc w:val="both"/>
        <w:rPr>
          <w:rFonts w:cs="宋体" w:asciiTheme="majorEastAsia" w:hAnsiTheme="majorEastAsia" w:eastAsiaTheme="majorEastAsia"/>
          <w:b/>
          <w:color w:val="222222"/>
          <w:sz w:val="21"/>
          <w:szCs w:val="21"/>
        </w:rPr>
      </w:pPr>
      <w:r>
        <w:rPr>
          <w:rFonts w:hint="eastAsia" w:cs="宋体" w:asciiTheme="majorEastAsia" w:hAnsiTheme="majorEastAsia" w:eastAsiaTheme="majorEastAsia"/>
          <w:b/>
          <w:color w:val="222222"/>
          <w:sz w:val="21"/>
          <w:szCs w:val="21"/>
        </w:rPr>
        <w:t>（七）保险人参加任何职业或半职业体育运动或设有奖金、报酬的体育活动期间；</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（八）被保险人作为军人</w:t>
      </w:r>
      <w:r>
        <w:rPr>
          <w:rFonts w:cs="宋体" w:asciiTheme="majorEastAsia" w:hAnsiTheme="majorEastAsia" w:eastAsiaTheme="majorEastAsia"/>
          <w:b/>
          <w:color w:val="222222"/>
          <w:sz w:val="21"/>
          <w:szCs w:val="21"/>
        </w:rPr>
        <w:t xml:space="preserve"> (</w:t>
      </w:r>
      <w:r>
        <w:rPr>
          <w:rFonts w:hint="eastAsia" w:cs="宋体" w:asciiTheme="majorEastAsia" w:hAnsiTheme="majorEastAsia" w:eastAsiaTheme="majorEastAsia"/>
          <w:b/>
          <w:color w:val="222222"/>
          <w:sz w:val="21"/>
          <w:szCs w:val="21"/>
        </w:rPr>
        <w:t>含特种兵</w:t>
      </w:r>
      <w:r>
        <w:rPr>
          <w:rFonts w:cs="宋体" w:asciiTheme="majorEastAsia" w:hAnsiTheme="majorEastAsia" w:eastAsiaTheme="majorEastAsia"/>
          <w:b/>
          <w:color w:val="222222"/>
          <w:sz w:val="21"/>
          <w:szCs w:val="21"/>
        </w:rPr>
        <w:t>)</w:t>
      </w:r>
      <w:r>
        <w:rPr>
          <w:rFonts w:hint="eastAsia" w:cs="宋体" w:asciiTheme="majorEastAsia" w:hAnsiTheme="majorEastAsia" w:eastAsiaTheme="majorEastAsia"/>
          <w:b/>
          <w:color w:val="222222"/>
          <w:sz w:val="21"/>
          <w:szCs w:val="21"/>
        </w:rPr>
        <w:t>、警务人员</w:t>
      </w:r>
      <w:r>
        <w:rPr>
          <w:rFonts w:cs="宋体" w:asciiTheme="majorEastAsia" w:hAnsiTheme="majorEastAsia" w:eastAsiaTheme="majorEastAsia"/>
          <w:b/>
          <w:color w:val="222222"/>
          <w:sz w:val="21"/>
          <w:szCs w:val="21"/>
        </w:rPr>
        <w:t>(</w:t>
      </w:r>
      <w:r>
        <w:rPr>
          <w:rFonts w:hint="eastAsia" w:cs="宋体" w:asciiTheme="majorEastAsia" w:hAnsiTheme="majorEastAsia" w:eastAsiaTheme="majorEastAsia"/>
          <w:b/>
          <w:color w:val="222222"/>
          <w:sz w:val="21"/>
          <w:szCs w:val="21"/>
        </w:rPr>
        <w:t>含防暴警察</w:t>
      </w:r>
      <w:r>
        <w:rPr>
          <w:rFonts w:cs="宋体" w:asciiTheme="majorEastAsia" w:hAnsiTheme="majorEastAsia" w:eastAsiaTheme="majorEastAsia"/>
          <w:b/>
          <w:color w:val="222222"/>
          <w:sz w:val="21"/>
          <w:szCs w:val="21"/>
        </w:rPr>
        <w:t>)</w:t>
      </w:r>
      <w:r>
        <w:rPr>
          <w:rFonts w:hint="eastAsia" w:cs="宋体" w:asciiTheme="majorEastAsia" w:hAnsiTheme="majorEastAsia" w:eastAsiaTheme="majorEastAsia"/>
          <w:b/>
          <w:color w:val="222222"/>
          <w:sz w:val="21"/>
          <w:szCs w:val="21"/>
        </w:rPr>
        <w:t>在训练或执行公务期间，如保险人进行风险评估后同意拓展承保并在保单上载明时，不受本责任免除的限制；</w:t>
      </w:r>
    </w:p>
    <w:p>
      <w:pPr>
        <w:pStyle w:val="13"/>
        <w:adjustRightInd w:val="0"/>
        <w:snapToGrid w:val="0"/>
        <w:spacing w:afterLines="50"/>
        <w:ind w:firstLine="422" w:firstLineChars="200"/>
        <w:jc w:val="both"/>
        <w:rPr>
          <w:rFonts w:cs="宋体" w:asciiTheme="majorEastAsia" w:hAnsiTheme="majorEastAsia" w:eastAsiaTheme="majorEastAsia"/>
          <w:b/>
          <w:color w:val="222222"/>
          <w:sz w:val="21"/>
          <w:szCs w:val="21"/>
        </w:rPr>
      </w:pPr>
      <w:r>
        <w:rPr>
          <w:rFonts w:hint="eastAsia" w:cs="宋体" w:asciiTheme="majorEastAsia" w:hAnsiTheme="majorEastAsia" w:eastAsiaTheme="majorEastAsia"/>
          <w:b/>
          <w:color w:val="222222"/>
          <w:sz w:val="21"/>
          <w:szCs w:val="21"/>
        </w:rPr>
        <w:t>（九）被保险人从事跳伞、滑翔、赛马、马术表演、赛车、拳击等高风险运动或活动</w:t>
      </w:r>
      <w:r>
        <w:rPr>
          <w:rFonts w:cs="宋体" w:asciiTheme="majorEastAsia" w:hAnsiTheme="majorEastAsia" w:eastAsiaTheme="majorEastAsia"/>
          <w:b/>
          <w:color w:val="222222"/>
          <w:sz w:val="21"/>
          <w:szCs w:val="21"/>
        </w:rPr>
        <w:t xml:space="preserve">期间。如保险人进行风险评估后同意拓展承保时，不受本责任免除的限制； </w:t>
      </w:r>
    </w:p>
    <w:p>
      <w:pPr>
        <w:pStyle w:val="13"/>
        <w:adjustRightInd w:val="0"/>
        <w:snapToGrid w:val="0"/>
        <w:spacing w:afterLines="50"/>
        <w:ind w:firstLine="422" w:firstLineChars="200"/>
        <w:jc w:val="both"/>
        <w:rPr>
          <w:rFonts w:cs="宋体" w:asciiTheme="majorEastAsia" w:hAnsiTheme="majorEastAsia" w:eastAsiaTheme="majorEastAsia"/>
          <w:b/>
          <w:color w:val="222222"/>
          <w:sz w:val="21"/>
          <w:szCs w:val="21"/>
        </w:rPr>
      </w:pPr>
      <w:r>
        <w:rPr>
          <w:rFonts w:hint="eastAsia" w:cs="宋体" w:asciiTheme="majorEastAsia" w:hAnsiTheme="majorEastAsia" w:eastAsiaTheme="majorEastAsia"/>
          <w:b/>
          <w:color w:val="222222"/>
          <w:sz w:val="21"/>
          <w:szCs w:val="21"/>
        </w:rPr>
        <w:t>（十）被保险人从事采矿业、地下作业、山洞作业、水上作业、</w:t>
      </w:r>
      <w:r>
        <w:rPr>
          <w:rFonts w:cs="宋体" w:asciiTheme="majorEastAsia" w:hAnsiTheme="majorEastAsia" w:eastAsiaTheme="majorEastAsia"/>
          <w:b/>
          <w:color w:val="222222"/>
          <w:sz w:val="21"/>
          <w:szCs w:val="21"/>
        </w:rPr>
        <w:t>5米以上高处作业的职业活动期间</w:t>
      </w:r>
      <w:r>
        <w:rPr>
          <w:rFonts w:hint="eastAsia" w:cs="宋体" w:asciiTheme="majorEastAsia" w:hAnsiTheme="majorEastAsia" w:eastAsiaTheme="majorEastAsia"/>
          <w:b/>
          <w:color w:val="222222"/>
          <w:sz w:val="21"/>
          <w:szCs w:val="21"/>
        </w:rPr>
        <w:t>。</w:t>
      </w:r>
    </w:p>
    <w:p>
      <w:pPr>
        <w:spacing w:afterLines="50"/>
        <w:ind w:firstLine="422" w:firstLineChars="200"/>
        <w:rPr>
          <w:rFonts w:ascii="宋体" w:cs="宋体"/>
          <w:b/>
          <w:bCs/>
          <w:sz w:val="21"/>
          <w:szCs w:val="21"/>
        </w:rPr>
      </w:pPr>
      <w:r>
        <w:rPr>
          <w:rFonts w:hint="eastAsia" w:ascii="宋体" w:eastAsia="宋体" w:cs="宋体"/>
          <w:b/>
          <w:bCs/>
          <w:sz w:val="21"/>
          <w:szCs w:val="21"/>
        </w:rPr>
        <w:t>第</w:t>
      </w:r>
      <w:r>
        <w:rPr>
          <w:rFonts w:hint="eastAsia" w:ascii="宋体" w:cs="宋体"/>
          <w:b/>
          <w:bCs/>
          <w:sz w:val="21"/>
          <w:szCs w:val="21"/>
        </w:rPr>
        <w:t>八</w:t>
      </w:r>
      <w:r>
        <w:rPr>
          <w:rFonts w:hint="eastAsia" w:ascii="宋体" w:eastAsia="宋体" w:cs="宋体"/>
          <w:b/>
          <w:bCs/>
          <w:sz w:val="21"/>
          <w:szCs w:val="21"/>
        </w:rPr>
        <w:t>条 本保险条款其他条目中约定的不承担、免除或减少保险责任的部分，保险人不负责赔偿。</w:t>
      </w:r>
    </w:p>
    <w:p>
      <w:pPr>
        <w:spacing w:afterLines="50"/>
        <w:ind w:firstLine="422" w:firstLineChars="200"/>
        <w:rPr>
          <w:rFonts w:ascii="宋体" w:eastAsia="宋体" w:cs="宋体"/>
          <w:b/>
          <w:bCs/>
          <w:sz w:val="21"/>
          <w:szCs w:val="21"/>
        </w:rPr>
      </w:pPr>
      <w:r>
        <w:rPr>
          <w:rFonts w:hint="eastAsia" w:ascii="宋体" w:eastAsia="宋体" w:cs="宋体"/>
          <w:b/>
          <w:bCs/>
          <w:sz w:val="21"/>
          <w:szCs w:val="21"/>
        </w:rPr>
        <w:t>第九条 其他不属于保险责任范围内的事故造成被保险人身故或伤残的，保险人不承担给付保险金责任。</w:t>
      </w:r>
    </w:p>
    <w:p>
      <w:pPr>
        <w:pStyle w:val="13"/>
        <w:adjustRightInd w:val="0"/>
        <w:snapToGrid w:val="0"/>
        <w:spacing w:afterLines="50"/>
        <w:ind w:firstLine="422" w:firstLineChars="200"/>
        <w:jc w:val="center"/>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保险金额和保险费</w:t>
      </w:r>
    </w:p>
    <w:p>
      <w:pPr>
        <w:pStyle w:val="13"/>
        <w:adjustRightInd w:val="0"/>
        <w:snapToGrid w:val="0"/>
        <w:spacing w:afterLines="50"/>
        <w:ind w:firstLine="422" w:firstLineChars="200"/>
        <w:jc w:val="both"/>
        <w:rPr>
          <w:rFonts w:cs="宋体" w:asciiTheme="majorEastAsia" w:hAnsiTheme="majorEastAsia" w:eastAsiaTheme="majorEastAsia"/>
          <w:sz w:val="21"/>
          <w:szCs w:val="21"/>
        </w:rPr>
      </w:pPr>
      <w:r>
        <w:rPr>
          <w:rFonts w:hint="eastAsia" w:cs="宋体" w:asciiTheme="majorEastAsia" w:hAnsiTheme="majorEastAsia" w:eastAsiaTheme="majorEastAsia"/>
          <w:b/>
          <w:sz w:val="21"/>
          <w:szCs w:val="21"/>
        </w:rPr>
        <w:t>第十条</w:t>
      </w:r>
      <w:r>
        <w:rPr>
          <w:rFonts w:hint="eastAsia" w:cs="宋体" w:asciiTheme="majorEastAsia" w:hAnsiTheme="majorEastAsia" w:eastAsiaTheme="majorEastAsia"/>
          <w:sz w:val="21"/>
          <w:szCs w:val="21"/>
        </w:rPr>
        <w:t xml:space="preserve"> 保险金额是保险人承担给付保险金责任的最高限额。本保险合同的保险金额由投保人、保险人双方协商确定，并在保险单中载明。</w:t>
      </w:r>
    </w:p>
    <w:p>
      <w:pPr>
        <w:pStyle w:val="13"/>
        <w:adjustRightInd w:val="0"/>
        <w:snapToGrid w:val="0"/>
        <w:spacing w:afterLines="50"/>
        <w:ind w:firstLine="422" w:firstLineChars="200"/>
        <w:jc w:val="both"/>
        <w:rPr>
          <w:rFonts w:cs="宋体" w:asciiTheme="majorEastAsia" w:hAnsiTheme="majorEastAsia" w:eastAsiaTheme="majorEastAsia"/>
          <w:color w:val="222222"/>
          <w:sz w:val="21"/>
          <w:szCs w:val="21"/>
        </w:rPr>
      </w:pPr>
      <w:r>
        <w:rPr>
          <w:rFonts w:hint="eastAsia" w:cs="宋体" w:asciiTheme="majorEastAsia" w:hAnsiTheme="majorEastAsia" w:eastAsiaTheme="majorEastAsia"/>
          <w:b/>
          <w:sz w:val="21"/>
          <w:szCs w:val="21"/>
        </w:rPr>
        <w:t xml:space="preserve">第十一条 </w:t>
      </w:r>
      <w:r>
        <w:rPr>
          <w:rFonts w:hint="eastAsia" w:cs="宋体" w:asciiTheme="majorEastAsia" w:hAnsiTheme="majorEastAsia" w:eastAsiaTheme="majorEastAsia"/>
          <w:color w:val="222222"/>
          <w:sz w:val="21"/>
          <w:szCs w:val="21"/>
        </w:rPr>
        <w:t>投保人应该按照合同约定向保险人交纳保险费。</w:t>
      </w:r>
    </w:p>
    <w:p>
      <w:pPr>
        <w:pStyle w:val="13"/>
        <w:adjustRightInd w:val="0"/>
        <w:snapToGrid w:val="0"/>
        <w:spacing w:afterLines="50"/>
        <w:ind w:firstLine="422" w:firstLineChars="200"/>
        <w:jc w:val="center"/>
        <w:rPr>
          <w:rFonts w:asciiTheme="majorEastAsia" w:hAnsiTheme="majorEastAsia" w:eastAsiaTheme="majorEastAsia"/>
          <w:b/>
          <w:bCs/>
          <w:color w:val="000000"/>
          <w:sz w:val="21"/>
          <w:szCs w:val="21"/>
          <w:shd w:val="clear" w:color="auto" w:fill="FFFFFF"/>
        </w:rPr>
      </w:pPr>
      <w:r>
        <w:rPr>
          <w:rFonts w:hint="eastAsia" w:asciiTheme="majorEastAsia" w:hAnsiTheme="majorEastAsia" w:eastAsiaTheme="majorEastAsia"/>
          <w:b/>
          <w:bCs/>
          <w:color w:val="000000"/>
          <w:sz w:val="21"/>
          <w:szCs w:val="21"/>
          <w:shd w:val="clear" w:color="auto" w:fill="FFFFFF"/>
        </w:rPr>
        <w:t>保险期间</w:t>
      </w:r>
    </w:p>
    <w:p>
      <w:pPr>
        <w:pStyle w:val="13"/>
        <w:adjustRightInd w:val="0"/>
        <w:snapToGrid w:val="0"/>
        <w:spacing w:afterLines="50"/>
        <w:ind w:firstLine="422" w:firstLineChars="200"/>
        <w:jc w:val="both"/>
        <w:rPr>
          <w:rFonts w:asciiTheme="majorEastAsia" w:hAnsiTheme="majorEastAsia" w:eastAsiaTheme="majorEastAsia"/>
          <w:color w:val="000000"/>
          <w:sz w:val="21"/>
          <w:szCs w:val="21"/>
          <w:shd w:val="clear" w:color="auto" w:fill="FFFFFF"/>
        </w:rPr>
      </w:pPr>
      <w:r>
        <w:rPr>
          <w:rFonts w:hint="eastAsia" w:asciiTheme="majorEastAsia" w:hAnsiTheme="majorEastAsia" w:eastAsiaTheme="majorEastAsia"/>
          <w:b/>
          <w:color w:val="000000"/>
          <w:sz w:val="21"/>
          <w:szCs w:val="21"/>
          <w:shd w:val="clear" w:color="auto" w:fill="FFFFFF"/>
        </w:rPr>
        <w:t>第十二条</w:t>
      </w:r>
      <w:r>
        <w:rPr>
          <w:rFonts w:hint="eastAsia" w:asciiTheme="majorEastAsia" w:hAnsiTheme="majorEastAsia" w:eastAsiaTheme="majorEastAsia"/>
          <w:color w:val="000000"/>
          <w:sz w:val="21"/>
          <w:szCs w:val="21"/>
          <w:shd w:val="clear" w:color="auto" w:fill="FFFFFF"/>
        </w:rPr>
        <w:t xml:space="preserve"> 本合同的保险期间由投保人在投保时与保险人协商确定，</w:t>
      </w:r>
      <w:r>
        <w:rPr>
          <w:rFonts w:asciiTheme="majorEastAsia" w:hAnsiTheme="majorEastAsia" w:eastAsiaTheme="majorEastAsia"/>
          <w:color w:val="000000"/>
          <w:sz w:val="21"/>
          <w:szCs w:val="21"/>
          <w:shd w:val="clear" w:color="auto" w:fill="FFFFFF"/>
        </w:rPr>
        <w:t>并在保险合同中载明</w:t>
      </w:r>
      <w:r>
        <w:rPr>
          <w:rFonts w:hint="eastAsia" w:asciiTheme="majorEastAsia" w:hAnsiTheme="majorEastAsia" w:eastAsiaTheme="majorEastAsia"/>
          <w:color w:val="000000"/>
          <w:sz w:val="21"/>
          <w:szCs w:val="21"/>
          <w:shd w:val="clear" w:color="auto" w:fill="FFFFFF"/>
        </w:rPr>
        <w:t>,最长不超过1年，具体以保险单上载明的起讫时间为准。</w:t>
      </w:r>
    </w:p>
    <w:p>
      <w:pPr>
        <w:pStyle w:val="13"/>
        <w:adjustRightInd w:val="0"/>
        <w:snapToGrid w:val="0"/>
        <w:spacing w:afterLines="50"/>
        <w:ind w:firstLine="422" w:firstLineChars="200"/>
        <w:jc w:val="center"/>
        <w:rPr>
          <w:rFonts w:asciiTheme="majorEastAsia" w:hAnsiTheme="majorEastAsia" w:eastAsiaTheme="majorEastAsia"/>
          <w:sz w:val="21"/>
          <w:szCs w:val="21"/>
        </w:rPr>
      </w:pPr>
      <w:r>
        <w:rPr>
          <w:rFonts w:hint="eastAsia" w:cs="宋体" w:asciiTheme="majorEastAsia" w:hAnsiTheme="majorEastAsia" w:eastAsiaTheme="majorEastAsia"/>
          <w:b/>
          <w:sz w:val="21"/>
          <w:szCs w:val="21"/>
        </w:rPr>
        <w:t>保险人义务</w:t>
      </w:r>
    </w:p>
    <w:p>
      <w:pPr>
        <w:spacing w:afterLines="50"/>
        <w:ind w:firstLine="422" w:firstLineChars="200"/>
        <w:rPr>
          <w:rFonts w:ascii="宋体"/>
          <w:sz w:val="21"/>
          <w:szCs w:val="21"/>
        </w:rPr>
      </w:pPr>
      <w:r>
        <w:rPr>
          <w:rFonts w:hint="eastAsia" w:ascii="宋体"/>
          <w:b/>
          <w:sz w:val="21"/>
          <w:szCs w:val="21"/>
        </w:rPr>
        <w:t>第十三条</w:t>
      </w:r>
      <w:r>
        <w:rPr>
          <w:rFonts w:hint="eastAsia" w:ascii="宋体"/>
          <w:sz w:val="21"/>
          <w:szCs w:val="21"/>
        </w:rPr>
        <w:t xml:space="preserve"> 订立保险合同时，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第十四条 </w:t>
      </w:r>
      <w:r>
        <w:rPr>
          <w:rFonts w:hint="eastAsia" w:cs="宋体" w:asciiTheme="majorEastAsia" w:hAnsiTheme="majorEastAsia" w:eastAsiaTheme="majorEastAsia"/>
          <w:sz w:val="21"/>
          <w:szCs w:val="21"/>
        </w:rPr>
        <w:t>本合同成立后，保险人应当及时向投保人签发保险单或其他保险凭证。</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第十五条 </w:t>
      </w:r>
      <w:r>
        <w:rPr>
          <w:rFonts w:hint="eastAsia" w:cs="宋体" w:asciiTheme="majorEastAsia" w:hAnsiTheme="majorEastAsia" w:eastAsiaTheme="majorEastAsia"/>
          <w:sz w:val="21"/>
          <w:szCs w:val="21"/>
        </w:rPr>
        <w:t>发生保险事故后，保险人按照本合同的约定，认为保险金申请人提供的有关索赔的证明和资料不完整的，应当及时一次性通知保险金申请人补充提供。</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第十六条</w:t>
      </w:r>
      <w:r>
        <w:rPr>
          <w:rFonts w:cs="宋体" w:asciiTheme="majorEastAsia" w:hAnsiTheme="majorEastAsia" w:eastAsiaTheme="majorEastAsia"/>
          <w:b/>
          <w:sz w:val="21"/>
          <w:szCs w:val="21"/>
        </w:rPr>
        <w:t xml:space="preserve"> </w:t>
      </w:r>
      <w:r>
        <w:rPr>
          <w:rFonts w:hint="eastAsia" w:cs="宋体" w:asciiTheme="majorEastAsia" w:hAnsiTheme="majorEastAsia" w:eastAsiaTheme="majorEastAsia"/>
          <w:sz w:val="21"/>
          <w:szCs w:val="21"/>
        </w:rPr>
        <w:t>保险人收到被保险人或者受益人的给付保险金请求后，应当及时作出核定；情形复杂的，保险人应当在</w:t>
      </w:r>
      <w:r>
        <w:rPr>
          <w:rFonts w:cs="宋体" w:asciiTheme="majorEastAsia" w:hAnsiTheme="majorEastAsia" w:eastAsiaTheme="majorEastAsia"/>
          <w:sz w:val="21"/>
          <w:szCs w:val="21"/>
        </w:rPr>
        <w:t>30</w:t>
      </w:r>
      <w:r>
        <w:rPr>
          <w:rFonts w:hint="eastAsia" w:cs="宋体" w:asciiTheme="majorEastAsia" w:hAnsiTheme="majorEastAsia" w:eastAsiaTheme="majorEastAsia"/>
          <w:sz w:val="21"/>
          <w:szCs w:val="21"/>
        </w:rPr>
        <w:t xml:space="preserve">日内作出核定，但保险合同另有约定的除外。 </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保险人应当将核定结果通知被保险人或者受益人；对属于保险责任的，在与被保险人或者受益人达成给付保险金的协议后10日内，履行给付保险金义务。保险合同对给付保险金的期限有约定的，保险人应当按照约定履行给付保险金的义务。保险人依照前款约定作出核定后，对不属于保险责任的，应当自作出核定之日起3日内向被保险人或者受益人发出拒绝给付保险金通知书，并说明理由。</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第十七条 </w:t>
      </w:r>
      <w:r>
        <w:rPr>
          <w:rFonts w:hint="eastAsia" w:cs="宋体" w:asciiTheme="majorEastAsia" w:hAnsiTheme="majorEastAsia" w:eastAsiaTheme="majorEastAsia"/>
          <w:sz w:val="21"/>
          <w:szCs w:val="21"/>
        </w:rPr>
        <w:t>保险人自收到给付保险金的请求和有关证明、资料之日起60日内，对其给付的数额不能确定的，应当根据已有证明和资料可以确定的数额先予支付；保险人最终确定给付保险金的数额后，应当支付相应的差额。</w:t>
      </w:r>
    </w:p>
    <w:p>
      <w:pPr>
        <w:pStyle w:val="13"/>
        <w:adjustRightInd w:val="0"/>
        <w:snapToGrid w:val="0"/>
        <w:spacing w:afterLines="50"/>
        <w:ind w:firstLine="422" w:firstLineChars="200"/>
        <w:jc w:val="center"/>
        <w:rPr>
          <w:rFonts w:asciiTheme="majorEastAsia" w:hAnsiTheme="majorEastAsia" w:eastAsiaTheme="majorEastAsia"/>
          <w:sz w:val="21"/>
          <w:szCs w:val="21"/>
        </w:rPr>
      </w:pPr>
      <w:r>
        <w:rPr>
          <w:rFonts w:hint="eastAsia" w:cs="宋体" w:asciiTheme="majorEastAsia" w:hAnsiTheme="majorEastAsia" w:eastAsiaTheme="majorEastAsia"/>
          <w:b/>
          <w:sz w:val="21"/>
          <w:szCs w:val="21"/>
        </w:rPr>
        <w:t>投保人、被保险人义务</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Style w:val="30"/>
          <w:rFonts w:hint="eastAsia" w:cs="宋体" w:asciiTheme="majorEastAsia" w:hAnsiTheme="majorEastAsia" w:eastAsiaTheme="majorEastAsia"/>
          <w:b/>
          <w:sz w:val="21"/>
          <w:szCs w:val="21"/>
        </w:rPr>
        <w:t xml:space="preserve">第十八条 </w:t>
      </w:r>
      <w:r>
        <w:rPr>
          <w:rFonts w:ascii="宋体" w:eastAsia="宋体" w:cs="宋体"/>
          <w:sz w:val="21"/>
          <w:szCs w:val="21"/>
        </w:rPr>
        <w:t>除另有约定外，保险合同成立后，投保人按照约定交付保险费，保险人按照约定的时间开始承担保险责任。</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第十九条 </w:t>
      </w:r>
      <w:r>
        <w:rPr>
          <w:rFonts w:hint="eastAsia" w:cs="宋体" w:asciiTheme="majorEastAsia" w:hAnsiTheme="majorEastAsia" w:eastAsiaTheme="majorEastAsia"/>
          <w:sz w:val="21"/>
          <w:szCs w:val="21"/>
        </w:rPr>
        <w:t>订立本合同时，保险人就被保险人的有关情况提出询问的，投保人应当如实告知。</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投保人故意或者因重大过失未履行前款规定的如实告知义务，足以影响保险人决定是否同意承保或者提高保险费率的，保险人有权解除保险合同。</w:t>
      </w:r>
    </w:p>
    <w:p>
      <w:pPr>
        <w:pStyle w:val="13"/>
        <w:adjustRightInd w:val="0"/>
        <w:snapToGrid w:val="0"/>
        <w:spacing w:afterLines="50"/>
        <w:ind w:firstLine="420" w:firstLineChars="200"/>
        <w:jc w:val="both"/>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前款规定的合同解除权，自保险人知道有解除事由之日起，超过三十日不行使而消灭。自合同成立之日起超过二年的，保险人不得解除合同；发生保险事故的，保险人应当承担赔偿或者给付保险金的责任。</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投保人故意不履行如实告知义务的，保险人对于合同解除前发生的保险事故，不承担给付保险金的责任，并不退还保险费。</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投保人因重大过失未履行如实告知义务，对保险事故的发生有严重影响的，保险人对于合同解除前发生的保险事故，不承担给付保险金的责任，但应当退还保险费。</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保险人在合同订立时已经知道投保人未如实告知的情况的，保险人不得解除合同；发生保险事故的，保险人应当承担给付保险金的责任。</w:t>
      </w:r>
    </w:p>
    <w:p>
      <w:pPr>
        <w:pStyle w:val="13"/>
        <w:adjustRightInd w:val="0"/>
        <w:snapToGrid w:val="0"/>
        <w:spacing w:afterLines="50"/>
        <w:ind w:firstLine="422" w:firstLineChars="200"/>
        <w:jc w:val="both"/>
        <w:rPr>
          <w:rFonts w:cs="宋体" w:asciiTheme="majorEastAsia" w:hAnsiTheme="majorEastAsia" w:eastAsiaTheme="majorEastAsia"/>
          <w:b/>
          <w:sz w:val="21"/>
          <w:szCs w:val="21"/>
        </w:rPr>
      </w:pPr>
      <w:r>
        <w:rPr>
          <w:rFonts w:hint="eastAsia" w:cs="宋体" w:asciiTheme="majorEastAsia" w:hAnsiTheme="majorEastAsia" w:eastAsiaTheme="majorEastAsia"/>
          <w:b/>
          <w:sz w:val="21"/>
          <w:szCs w:val="21"/>
        </w:rPr>
        <w:t>第二十条</w:t>
      </w:r>
      <w:r>
        <w:rPr>
          <w:rFonts w:cs="宋体" w:asciiTheme="majorEastAsia" w:hAnsiTheme="majorEastAsia" w:eastAsiaTheme="majorEastAsia"/>
          <w:b/>
          <w:sz w:val="21"/>
          <w:szCs w:val="21"/>
        </w:rPr>
        <w:t xml:space="preserve"> 被保险人变更职业或工种时，投保人或被保险人应在</w:t>
      </w:r>
      <w:r>
        <w:rPr>
          <w:rFonts w:hint="eastAsia" w:cs="宋体" w:asciiTheme="majorEastAsia" w:hAnsiTheme="majorEastAsia" w:eastAsiaTheme="majorEastAsia"/>
          <w:b/>
          <w:sz w:val="21"/>
          <w:szCs w:val="21"/>
        </w:rPr>
        <w:t>10</w:t>
      </w:r>
      <w:r>
        <w:rPr>
          <w:rFonts w:cs="宋体" w:asciiTheme="majorEastAsia" w:hAnsiTheme="majorEastAsia" w:eastAsiaTheme="majorEastAsia"/>
          <w:b/>
          <w:sz w:val="21"/>
          <w:szCs w:val="21"/>
        </w:rPr>
        <w:t>日内以书面形式通知保险人。</w:t>
      </w:r>
    </w:p>
    <w:p>
      <w:pPr>
        <w:pStyle w:val="41"/>
        <w:snapToGrid/>
        <w:spacing w:afterLines="50"/>
        <w:ind w:left="0" w:leftChars="0" w:firstLine="422"/>
        <w:rPr>
          <w:rFonts w:ascii="宋体" w:hAnsi="宋体" w:cs="宋体"/>
          <w:b/>
          <w:bCs/>
          <w:szCs w:val="21"/>
        </w:rPr>
      </w:pPr>
      <w:r>
        <w:rPr>
          <w:rFonts w:hint="eastAsia" w:ascii="宋体" w:hAnsi="宋体" w:cs="宋体"/>
          <w:b/>
          <w:bCs/>
          <w:szCs w:val="21"/>
        </w:rPr>
        <w:t>被保险人所变更的职业或工种依照保险人职业分类在拒保范围内的，</w:t>
      </w:r>
      <w:r>
        <w:rPr>
          <w:rFonts w:hint="eastAsia" w:cs="宋体" w:asciiTheme="majorEastAsia" w:hAnsiTheme="majorEastAsia" w:eastAsiaTheme="majorEastAsia"/>
          <w:b/>
          <w:szCs w:val="21"/>
        </w:rPr>
        <w:t>保险人有权解除本保险合同，并向投保人退还未满期保险费。</w:t>
      </w:r>
    </w:p>
    <w:p>
      <w:pPr>
        <w:pStyle w:val="41"/>
        <w:snapToGrid/>
        <w:spacing w:afterLines="50"/>
        <w:ind w:left="0" w:leftChars="0"/>
        <w:rPr>
          <w:rFonts w:ascii="宋体" w:hAnsi="宋体" w:cs="宋体"/>
          <w:b/>
          <w:szCs w:val="21"/>
        </w:rPr>
      </w:pPr>
      <w:r>
        <w:rPr>
          <w:rFonts w:hint="eastAsia" w:ascii="宋体" w:hAnsi="宋体" w:cs="宋体"/>
          <w:szCs w:val="21"/>
        </w:rPr>
        <w:t>被保险人所变更的职业或工种依照保险人职业分类仍可承保的或在拒保范围内但保险人认定可以继续承保的，依照保险人职业分类其危险性减低的，保险人自接到通知后，自职业变更之日起，退还变更前后职业或工种对应的保险费差额；</w:t>
      </w:r>
      <w:r>
        <w:rPr>
          <w:rFonts w:hint="eastAsia" w:ascii="宋体" w:hAnsi="宋体" w:cs="宋体"/>
          <w:b/>
          <w:szCs w:val="21"/>
        </w:rPr>
        <w:t>其危险性增加的，保险人在接到通知后，自职业变更之日起，增收变更前后职业或工种对应的保险费差额。</w:t>
      </w:r>
    </w:p>
    <w:p>
      <w:pPr>
        <w:pStyle w:val="41"/>
        <w:snapToGrid/>
        <w:spacing w:afterLines="50"/>
        <w:ind w:left="0" w:leftChars="0" w:firstLine="422"/>
        <w:rPr>
          <w:rFonts w:ascii="宋体" w:hAnsi="宋体" w:cs="宋体"/>
          <w:b/>
          <w:bCs/>
          <w:szCs w:val="21"/>
        </w:rPr>
      </w:pPr>
      <w:r>
        <w:rPr>
          <w:rFonts w:hint="eastAsia" w:ascii="宋体" w:hAnsi="宋体" w:cs="宋体"/>
          <w:b/>
          <w:szCs w:val="21"/>
        </w:rPr>
        <w:t>被保险人所变更的职业或工种，依照保险人职业分类其危险性增加，且未依本条约定通知保险人而发生保险事故的，保险人按其原交保险费比新职业或工种所对应的保险费的比例计算并给付保险金。</w:t>
      </w:r>
      <w:r>
        <w:rPr>
          <w:rFonts w:hint="eastAsia" w:ascii="宋体" w:hAnsi="宋体" w:cs="宋体"/>
          <w:b/>
          <w:bCs/>
          <w:szCs w:val="21"/>
        </w:rPr>
        <w:t>被保险人所变更的职业或工种依照保险人职业分类在拒保范围内，保险人不承担给付保险金的责任。</w:t>
      </w:r>
    </w:p>
    <w:p>
      <w:pPr>
        <w:pStyle w:val="13"/>
        <w:adjustRightInd w:val="0"/>
        <w:snapToGrid w:val="0"/>
        <w:spacing w:afterLines="50"/>
        <w:ind w:firstLine="422" w:firstLineChars="200"/>
        <w:jc w:val="both"/>
        <w:rPr>
          <w:rFonts w:cs="宋体" w:asciiTheme="majorEastAsia" w:hAnsiTheme="majorEastAsia" w:eastAsiaTheme="majorEastAsia"/>
          <w:b/>
          <w:sz w:val="21"/>
          <w:szCs w:val="21"/>
        </w:rPr>
      </w:pPr>
      <w:r>
        <w:rPr>
          <w:rFonts w:hint="eastAsia" w:cs="宋体" w:asciiTheme="majorEastAsia" w:hAnsiTheme="majorEastAsia" w:eastAsiaTheme="majorEastAsia"/>
          <w:b/>
          <w:sz w:val="21"/>
          <w:szCs w:val="21"/>
        </w:rPr>
        <w:t>第二十一条</w:t>
      </w:r>
      <w:r>
        <w:rPr>
          <w:rFonts w:cs="宋体" w:asciiTheme="majorEastAsia" w:hAnsiTheme="majorEastAsia" w:eastAsiaTheme="majorEastAsia"/>
          <w:b/>
          <w:sz w:val="21"/>
          <w:szCs w:val="21"/>
        </w:rPr>
        <w:t xml:space="preserve"> 投保人住所或通讯地址变更时，应及时以书面形式通知保险人。投保人未通知的，保险人按本保险合同所载的最后住所或通讯地址发送的有关通知，均视为已发送给投保人。 </w:t>
      </w:r>
    </w:p>
    <w:p>
      <w:pPr>
        <w:pStyle w:val="13"/>
        <w:adjustRightInd w:val="0"/>
        <w:snapToGrid w:val="0"/>
        <w:spacing w:afterLines="50"/>
        <w:ind w:firstLine="422" w:firstLineChars="200"/>
        <w:jc w:val="both"/>
        <w:rPr>
          <w:rFonts w:cs="宋体" w:asciiTheme="majorEastAsia" w:hAnsiTheme="majorEastAsia" w:eastAsiaTheme="majorEastAsia"/>
          <w:b/>
          <w:sz w:val="21"/>
          <w:szCs w:val="21"/>
        </w:rPr>
      </w:pPr>
      <w:r>
        <w:rPr>
          <w:rFonts w:hint="eastAsia" w:cs="宋体" w:asciiTheme="majorEastAsia" w:hAnsiTheme="majorEastAsia" w:eastAsiaTheme="majorEastAsia"/>
          <w:b/>
          <w:sz w:val="21"/>
          <w:szCs w:val="21"/>
        </w:rPr>
        <w:t>第二十二条</w:t>
      </w:r>
      <w:r>
        <w:rPr>
          <w:rFonts w:cs="宋体" w:asciiTheme="majorEastAsia" w:hAnsiTheme="majorEastAsia" w:eastAsiaTheme="majorEastAsia"/>
          <w:b/>
          <w:sz w:val="21"/>
          <w:szCs w:val="21"/>
        </w:rPr>
        <w:t xml:space="preserve"> 在保险期间内，投保人需变更保险合同其他内容的，应以书面形式向保险人提出申请。保险人同意后出具批单，并在本保险合同中批注。</w:t>
      </w:r>
    </w:p>
    <w:p>
      <w:pPr>
        <w:pStyle w:val="13"/>
        <w:adjustRightInd w:val="0"/>
        <w:snapToGrid w:val="0"/>
        <w:spacing w:afterLines="50"/>
        <w:ind w:firstLine="422" w:firstLineChars="200"/>
        <w:jc w:val="both"/>
        <w:rPr>
          <w:rFonts w:cs="宋体" w:asciiTheme="majorEastAsia" w:hAnsiTheme="majorEastAsia" w:eastAsiaTheme="majorEastAsia"/>
          <w:b/>
          <w:sz w:val="21"/>
          <w:szCs w:val="21"/>
        </w:rPr>
      </w:pPr>
      <w:r>
        <w:rPr>
          <w:rFonts w:hint="eastAsia" w:cs="宋体" w:asciiTheme="majorEastAsia" w:hAnsiTheme="majorEastAsia" w:eastAsiaTheme="majorEastAsia"/>
          <w:b/>
          <w:sz w:val="21"/>
          <w:szCs w:val="21"/>
        </w:rPr>
        <w:t>第二十三条</w:t>
      </w:r>
      <w:r>
        <w:rPr>
          <w:rFonts w:cs="宋体" w:asciiTheme="majorEastAsia" w:hAnsiTheme="majorEastAsia" w:eastAsiaTheme="majorEastAsia"/>
          <w:b/>
          <w:sz w:val="21"/>
          <w:szCs w:val="21"/>
        </w:rPr>
        <w:t xml:space="preserve"> 被保险人的投保年龄，以法定身份证件登记的周岁年龄为准, 本保险合同所承保的被保险人的投保年龄必须符合年龄要求。投保人在申请投保时，应按被保险人的周岁年龄填写。若发生错误，保险人按照以下规定处理：</w:t>
      </w:r>
    </w:p>
    <w:p>
      <w:pPr>
        <w:pStyle w:val="13"/>
        <w:adjustRightInd w:val="0"/>
        <w:snapToGrid w:val="0"/>
        <w:spacing w:afterLines="50"/>
        <w:ind w:firstLine="422" w:firstLineChars="200"/>
        <w:jc w:val="both"/>
        <w:rPr>
          <w:rFonts w:cs="宋体" w:asciiTheme="majorEastAsia" w:hAnsiTheme="majorEastAsia" w:eastAsiaTheme="majorEastAsia"/>
          <w:b/>
          <w:sz w:val="21"/>
          <w:szCs w:val="21"/>
        </w:rPr>
      </w:pPr>
      <w:r>
        <w:rPr>
          <w:rFonts w:hint="eastAsia" w:cs="宋体" w:asciiTheme="majorEastAsia" w:hAnsiTheme="majorEastAsia" w:eastAsiaTheme="majorEastAsia"/>
          <w:b/>
          <w:sz w:val="21"/>
          <w:szCs w:val="21"/>
        </w:rPr>
        <w:t>（一）投保人申报的被保险人年龄不真实，且真实年龄不符合本保险合同约定的年龄限制的，保险人有权解除本保险合同，并向投保人退还未满期保险费。</w:t>
      </w:r>
    </w:p>
    <w:p>
      <w:pPr>
        <w:pStyle w:val="13"/>
        <w:adjustRightInd w:val="0"/>
        <w:snapToGrid w:val="0"/>
        <w:spacing w:afterLines="50"/>
        <w:ind w:firstLine="422" w:firstLineChars="200"/>
        <w:jc w:val="both"/>
        <w:rPr>
          <w:rFonts w:cs="宋体" w:asciiTheme="majorEastAsia" w:hAnsiTheme="majorEastAsia" w:eastAsiaTheme="majorEastAsia"/>
          <w:b/>
          <w:sz w:val="21"/>
          <w:szCs w:val="21"/>
        </w:rPr>
      </w:pPr>
      <w:r>
        <w:rPr>
          <w:rFonts w:hint="eastAsia" w:cs="宋体" w:asciiTheme="majorEastAsia" w:hAnsiTheme="majorEastAsia" w:eastAsiaTheme="majorEastAsia"/>
          <w:b/>
          <w:sz w:val="21"/>
          <w:szCs w:val="21"/>
        </w:rPr>
        <w:t>（二）投保人申报的被保险人年龄不真实，导致投保人实付保险费少于应付保险费的，保险人有权更正并要求投保人补交保险费，或在给付保险金时按照实付保险费与应付保险费的比例支付。</w:t>
      </w:r>
    </w:p>
    <w:p>
      <w:pPr>
        <w:pStyle w:val="13"/>
        <w:adjustRightInd w:val="0"/>
        <w:snapToGrid w:val="0"/>
        <w:spacing w:afterLines="50"/>
        <w:ind w:firstLine="422" w:firstLineChars="200"/>
        <w:jc w:val="both"/>
        <w:rPr>
          <w:rFonts w:cs="宋体" w:asciiTheme="majorEastAsia" w:hAnsiTheme="majorEastAsia" w:eastAsiaTheme="majorEastAsia"/>
          <w:b/>
          <w:sz w:val="21"/>
          <w:szCs w:val="21"/>
        </w:rPr>
      </w:pPr>
      <w:r>
        <w:rPr>
          <w:rFonts w:hint="eastAsia" w:cs="宋体" w:asciiTheme="majorEastAsia" w:hAnsiTheme="majorEastAsia" w:eastAsiaTheme="majorEastAsia"/>
          <w:b/>
          <w:sz w:val="21"/>
          <w:szCs w:val="21"/>
        </w:rPr>
        <w:t>（三）投保人申报的被保险人年龄不真实，导致投保人支付保险费多于应付保险费的，</w:t>
      </w:r>
      <w:r>
        <w:rPr>
          <w:rFonts w:cs="宋体" w:asciiTheme="majorEastAsia" w:hAnsiTheme="majorEastAsia" w:eastAsiaTheme="majorEastAsia"/>
          <w:b/>
          <w:sz w:val="21"/>
          <w:szCs w:val="21"/>
        </w:rPr>
        <w:t xml:space="preserve"> </w:t>
      </w:r>
      <w:r>
        <w:rPr>
          <w:rFonts w:hint="eastAsia" w:cs="宋体" w:asciiTheme="majorEastAsia" w:hAnsiTheme="majorEastAsia" w:eastAsiaTheme="majorEastAsia"/>
          <w:b/>
          <w:sz w:val="21"/>
          <w:szCs w:val="21"/>
        </w:rPr>
        <w:t>保险人应将多收的保险费无息退还投保人</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第二十四条 </w:t>
      </w:r>
      <w:r>
        <w:rPr>
          <w:rFonts w:hint="eastAsia" w:cs="宋体" w:asciiTheme="majorEastAsia" w:hAnsiTheme="majorEastAsia" w:eastAsiaTheme="majorEastAsia"/>
          <w:sz w:val="21"/>
          <w:szCs w:val="21"/>
        </w:rPr>
        <w:t>保险事故发生后，投保人、被保险人或受益人应当及时通知保险人。</w:t>
      </w:r>
      <w:r>
        <w:rPr>
          <w:rFonts w:hint="eastAsia" w:cs="宋体" w:asciiTheme="majorEastAsia" w:hAnsiTheme="majorEastAsia" w:eastAsiaTheme="majorEastAsia"/>
          <w:b/>
          <w:sz w:val="21"/>
          <w:szCs w:val="21"/>
        </w:rPr>
        <w:t>故意或者因重大过失未及时通知，致使保险事故的性质、原因、损失程度等难以确定的，保险人对无法确定的部分，不承担给付保险金责任，</w:t>
      </w:r>
      <w:r>
        <w:rPr>
          <w:rFonts w:hint="eastAsia" w:cs="宋体" w:asciiTheme="majorEastAsia" w:hAnsiTheme="majorEastAsia" w:eastAsiaTheme="majorEastAsia"/>
          <w:sz w:val="21"/>
          <w:szCs w:val="21"/>
        </w:rPr>
        <w:t>但保险人通过其他途径已经及时知道或者应当及时知道保险事故发生的除外。</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上述约定，不包括因不可抗力导致的延迟。</w:t>
      </w:r>
    </w:p>
    <w:p>
      <w:pPr>
        <w:pStyle w:val="13"/>
        <w:adjustRightInd w:val="0"/>
        <w:snapToGrid w:val="0"/>
        <w:spacing w:afterLines="50"/>
        <w:ind w:firstLine="422" w:firstLineChars="200"/>
        <w:jc w:val="center"/>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保险金申请与给付</w:t>
      </w:r>
    </w:p>
    <w:p>
      <w:pPr>
        <w:pStyle w:val="41"/>
        <w:spacing w:afterLines="50"/>
        <w:ind w:left="0" w:leftChars="0" w:firstLine="422"/>
        <w:rPr>
          <w:rFonts w:ascii="仿宋_GB2312" w:hAnsi="宋体" w:eastAsia="仿宋_GB2312"/>
          <w:b/>
          <w:szCs w:val="21"/>
        </w:rPr>
      </w:pPr>
      <w:r>
        <w:rPr>
          <w:rFonts w:hint="eastAsia" w:cs="宋体" w:asciiTheme="majorEastAsia" w:hAnsiTheme="majorEastAsia" w:eastAsiaTheme="majorEastAsia"/>
          <w:b/>
          <w:szCs w:val="21"/>
        </w:rPr>
        <w:t>第二十五条</w:t>
      </w:r>
      <w:r>
        <w:rPr>
          <w:rFonts w:cs="宋体" w:asciiTheme="majorEastAsia" w:hAnsiTheme="majorEastAsia" w:eastAsiaTheme="majorEastAsia"/>
          <w:szCs w:val="21"/>
        </w:rPr>
        <w:t xml:space="preserve"> 保险金申请人</w:t>
      </w:r>
      <w:r>
        <w:rPr>
          <w:rFonts w:hint="eastAsia" w:cs="宋体" w:asciiTheme="majorEastAsia" w:hAnsiTheme="majorEastAsia" w:eastAsiaTheme="majorEastAsia"/>
          <w:szCs w:val="21"/>
        </w:rPr>
        <w:t>向保险人申请给付保险金时，应提交以下材料。</w:t>
      </w:r>
      <w:r>
        <w:rPr>
          <w:rFonts w:hint="eastAsia" w:ascii="宋体" w:hAnsi="宋体" w:cs="宋体"/>
          <w:szCs w:val="21"/>
        </w:rPr>
        <w:t>保险金申请人因特殊原因不能提供以下材料的，应提供其它合法有效的材料。</w:t>
      </w:r>
      <w:r>
        <w:rPr>
          <w:rFonts w:hint="eastAsia" w:ascii="宋体" w:hAnsi="宋体" w:cs="宋体"/>
          <w:b/>
          <w:szCs w:val="21"/>
        </w:rPr>
        <w:t>保险金申请人未能提供有关材料，导致保险人无法核实该申请的真实性的，保险人对无法核实部分不承担给付保险金的责任。</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一</w:t>
      </w:r>
      <w:r>
        <w:rPr>
          <w:rFonts w:asciiTheme="majorEastAsia" w:hAnsiTheme="majorEastAsia" w:eastAsiaTheme="majorEastAsia"/>
          <w:sz w:val="21"/>
          <w:szCs w:val="21"/>
        </w:rPr>
        <w:t>）</w:t>
      </w:r>
      <w:r>
        <w:rPr>
          <w:rFonts w:hint="eastAsia" w:cs="宋体" w:asciiTheme="majorEastAsia" w:hAnsiTheme="majorEastAsia" w:eastAsiaTheme="majorEastAsia"/>
          <w:sz w:val="21"/>
          <w:szCs w:val="21"/>
        </w:rPr>
        <w:t>申请身故保险金需提供下列证明文件和资料：</w:t>
      </w:r>
    </w:p>
    <w:p>
      <w:pPr>
        <w:pStyle w:val="13"/>
        <w:adjustRightInd w:val="0"/>
        <w:snapToGrid w:val="0"/>
        <w:spacing w:afterLines="50"/>
        <w:ind w:firstLine="420" w:firstLineChars="200"/>
        <w:jc w:val="both"/>
        <w:rPr>
          <w:rFonts w:asciiTheme="majorEastAsia" w:hAnsiTheme="majorEastAsia" w:eastAsiaTheme="majorEastAsia" w:cstheme="majorEastAsia"/>
          <w:color w:val="222222"/>
          <w:sz w:val="21"/>
          <w:szCs w:val="21"/>
        </w:rPr>
      </w:pPr>
      <w:r>
        <w:rPr>
          <w:rFonts w:hint="eastAsia" w:asciiTheme="majorEastAsia" w:hAnsiTheme="majorEastAsia" w:eastAsiaTheme="majorEastAsia" w:cstheme="majorEastAsia"/>
          <w:color w:val="222222"/>
          <w:sz w:val="21"/>
          <w:szCs w:val="21"/>
        </w:rPr>
        <w:t>1.保险金给付申请书；</w:t>
      </w:r>
    </w:p>
    <w:p>
      <w:pPr>
        <w:pStyle w:val="13"/>
        <w:adjustRightInd w:val="0"/>
        <w:snapToGrid w:val="0"/>
        <w:spacing w:afterLines="50"/>
        <w:ind w:firstLine="420" w:firstLineChars="200"/>
        <w:jc w:val="both"/>
        <w:rPr>
          <w:rFonts w:asciiTheme="majorEastAsia" w:hAnsiTheme="majorEastAsia" w:eastAsiaTheme="majorEastAsia" w:cstheme="majorEastAsia"/>
          <w:color w:val="222222"/>
          <w:sz w:val="21"/>
          <w:szCs w:val="21"/>
        </w:rPr>
      </w:pPr>
      <w:r>
        <w:rPr>
          <w:rFonts w:hint="eastAsia" w:asciiTheme="majorEastAsia" w:hAnsiTheme="majorEastAsia" w:eastAsiaTheme="majorEastAsia" w:cstheme="majorEastAsia"/>
          <w:color w:val="222222"/>
          <w:sz w:val="21"/>
          <w:szCs w:val="21"/>
        </w:rPr>
        <w:t>2保险金申请人的有效身份证件；</w:t>
      </w:r>
    </w:p>
    <w:p>
      <w:pPr>
        <w:pStyle w:val="13"/>
        <w:tabs>
          <w:tab w:val="left" w:pos="312"/>
        </w:tabs>
        <w:adjustRightInd w:val="0"/>
        <w:snapToGrid w:val="0"/>
        <w:spacing w:afterLines="50"/>
        <w:ind w:left="420"/>
        <w:jc w:val="both"/>
        <w:rPr>
          <w:rFonts w:asciiTheme="majorEastAsia" w:hAnsiTheme="majorEastAsia" w:eastAsiaTheme="majorEastAsia" w:cstheme="majorEastAsia"/>
          <w:color w:val="222222"/>
          <w:sz w:val="21"/>
          <w:szCs w:val="21"/>
        </w:rPr>
      </w:pPr>
      <w:r>
        <w:rPr>
          <w:rFonts w:hint="eastAsia" w:asciiTheme="majorEastAsia" w:hAnsiTheme="majorEastAsia" w:eastAsiaTheme="majorEastAsia" w:cstheme="majorEastAsia"/>
          <w:color w:val="222222"/>
          <w:sz w:val="21"/>
          <w:szCs w:val="21"/>
        </w:rPr>
        <w:t>3.</w:t>
      </w:r>
      <w:r>
        <w:rPr>
          <w:rFonts w:asciiTheme="majorEastAsia" w:hAnsiTheme="majorEastAsia" w:eastAsiaTheme="majorEastAsia" w:cstheme="majorEastAsia"/>
          <w:color w:val="222222"/>
          <w:sz w:val="21"/>
          <w:szCs w:val="21"/>
        </w:rPr>
        <w:t>保险金申请人的银行账户；</w:t>
      </w:r>
    </w:p>
    <w:p>
      <w:pPr>
        <w:pStyle w:val="13"/>
        <w:adjustRightInd w:val="0"/>
        <w:snapToGrid w:val="0"/>
        <w:spacing w:afterLines="50"/>
        <w:ind w:firstLine="420" w:firstLineChars="200"/>
        <w:jc w:val="both"/>
        <w:rPr>
          <w:rFonts w:asciiTheme="majorEastAsia" w:hAnsiTheme="majorEastAsia" w:eastAsiaTheme="majorEastAsia" w:cstheme="majorEastAsia"/>
          <w:color w:val="222222"/>
          <w:sz w:val="21"/>
          <w:szCs w:val="21"/>
        </w:rPr>
      </w:pPr>
      <w:r>
        <w:rPr>
          <w:rFonts w:hint="eastAsia" w:asciiTheme="majorEastAsia" w:hAnsiTheme="majorEastAsia" w:eastAsiaTheme="majorEastAsia"/>
          <w:sz w:val="21"/>
          <w:szCs w:val="21"/>
        </w:rPr>
        <w:t>4.</w:t>
      </w:r>
      <w:r>
        <w:rPr>
          <w:rFonts w:hint="eastAsia" w:asciiTheme="majorEastAsia" w:hAnsiTheme="majorEastAsia" w:eastAsiaTheme="majorEastAsia" w:cstheme="majorEastAsia"/>
          <w:color w:val="222222"/>
          <w:sz w:val="21"/>
          <w:szCs w:val="21"/>
        </w:rPr>
        <w:t>公安部门出具的被保险人户籍注销证明、二级以上（含二级）或保险人认可的医疗机构出具的被保险人身故证明书。若被保险人为宣告死亡，保险金申请人应提供人民法院出具的宣告死亡证明文件；</w:t>
      </w:r>
    </w:p>
    <w:p>
      <w:pPr>
        <w:pStyle w:val="13"/>
        <w:adjustRightInd w:val="0"/>
        <w:snapToGrid w:val="0"/>
        <w:spacing w:afterLines="50"/>
        <w:ind w:firstLine="420" w:firstLineChars="200"/>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color w:val="222222"/>
          <w:sz w:val="21"/>
          <w:szCs w:val="21"/>
        </w:rPr>
        <w:t>5</w:t>
      </w:r>
      <w:r>
        <w:rPr>
          <w:rFonts w:asciiTheme="majorEastAsia" w:hAnsiTheme="majorEastAsia" w:eastAsiaTheme="majorEastAsia" w:cstheme="majorEastAsia"/>
          <w:color w:val="222222"/>
          <w:sz w:val="21"/>
          <w:szCs w:val="21"/>
        </w:rPr>
        <w:t>.</w:t>
      </w:r>
      <w:r>
        <w:rPr>
          <w:rFonts w:hint="eastAsia" w:asciiTheme="majorEastAsia" w:hAnsiTheme="majorEastAsia" w:eastAsiaTheme="majorEastAsia" w:cstheme="majorEastAsia"/>
          <w:color w:val="222222"/>
          <w:sz w:val="21"/>
          <w:szCs w:val="21"/>
        </w:rPr>
        <w:t>所能提供的与确认保险事故的性质、原因等有关的其他证明和资料；</w:t>
      </w:r>
    </w:p>
    <w:p>
      <w:pPr>
        <w:pStyle w:val="13"/>
        <w:adjustRightInd w:val="0"/>
        <w:snapToGrid w:val="0"/>
        <w:spacing w:afterLines="50"/>
        <w:ind w:firstLine="420" w:firstLineChars="200"/>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color w:val="222222"/>
          <w:sz w:val="21"/>
          <w:szCs w:val="21"/>
        </w:rPr>
        <w:t>6</w:t>
      </w:r>
      <w:r>
        <w:rPr>
          <w:rFonts w:asciiTheme="majorEastAsia" w:hAnsiTheme="majorEastAsia" w:eastAsiaTheme="majorEastAsia" w:cstheme="majorEastAsia"/>
          <w:color w:val="222222"/>
          <w:sz w:val="21"/>
          <w:szCs w:val="21"/>
        </w:rPr>
        <w:t>.</w:t>
      </w:r>
      <w:r>
        <w:rPr>
          <w:rFonts w:hint="eastAsia" w:asciiTheme="majorEastAsia" w:hAnsiTheme="majorEastAsia" w:eastAsiaTheme="majorEastAsia" w:cstheme="majorEastAsia"/>
          <w:color w:val="222222"/>
          <w:sz w:val="21"/>
          <w:szCs w:val="21"/>
        </w:rPr>
        <w:t>若保险金申请人委托他人申请的，还应提供授权委托书原件、委托人和受托人的身份证明等相关证明文件；</w:t>
      </w:r>
      <w:r>
        <w:rPr>
          <w:rStyle w:val="32"/>
          <w:rFonts w:hint="eastAsia" w:asciiTheme="majorEastAsia" w:hAnsiTheme="majorEastAsia" w:eastAsiaTheme="majorEastAsia" w:cstheme="majorEastAsia"/>
          <w:sz w:val="21"/>
          <w:szCs w:val="21"/>
        </w:rPr>
        <w:t>受益人为无民事行为能力人或者限制民事行为能力人的，由其监护人代为申领保险金，并需要提供监护人的身份证明等资料。</w:t>
      </w:r>
      <w:r>
        <w:rPr>
          <w:rFonts w:asciiTheme="majorEastAsia" w:hAnsiTheme="majorEastAsia" w:eastAsiaTheme="majorEastAsia" w:cstheme="majorEastAsia"/>
          <w:sz w:val="21"/>
          <w:szCs w:val="21"/>
        </w:rPr>
        <w:t xml:space="preserve"> </w:t>
      </w:r>
    </w:p>
    <w:p>
      <w:pPr>
        <w:pStyle w:val="13"/>
        <w:adjustRightInd w:val="0"/>
        <w:snapToGrid w:val="0"/>
        <w:spacing w:afterLines="50"/>
        <w:ind w:firstLine="420" w:firstLineChars="200"/>
        <w:jc w:val="both"/>
        <w:rPr>
          <w:rFonts w:asciiTheme="majorEastAsia" w:hAnsiTheme="majorEastAsia" w:eastAsiaTheme="majorEastAsia" w:cstheme="majorEastAsia"/>
          <w:sz w:val="21"/>
          <w:szCs w:val="21"/>
        </w:rPr>
      </w:pPr>
      <w:r>
        <w:rPr>
          <w:rFonts w:hint="eastAsia" w:asciiTheme="majorEastAsia" w:hAnsiTheme="majorEastAsia" w:eastAsiaTheme="majorEastAsia" w:cstheme="majorEastAsia"/>
          <w:color w:val="222222"/>
          <w:sz w:val="21"/>
          <w:szCs w:val="21"/>
        </w:rPr>
        <w:t>7</w:t>
      </w:r>
      <w:r>
        <w:rPr>
          <w:rFonts w:asciiTheme="majorEastAsia" w:hAnsiTheme="majorEastAsia" w:eastAsiaTheme="majorEastAsia" w:cstheme="majorEastAsia"/>
          <w:color w:val="222222"/>
          <w:sz w:val="21"/>
          <w:szCs w:val="21"/>
        </w:rPr>
        <w:t>.保险金作为被保险人遗产时，须提供可证明合法继承权的相</w:t>
      </w:r>
      <w:r>
        <w:rPr>
          <w:rFonts w:hint="eastAsia" w:asciiTheme="majorEastAsia" w:hAnsiTheme="majorEastAsia" w:eastAsiaTheme="majorEastAsia" w:cstheme="majorEastAsia"/>
          <w:color w:val="222222"/>
          <w:sz w:val="21"/>
          <w:szCs w:val="21"/>
        </w:rPr>
        <w:t>关权利文件。</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（二）申请伤残保险金需提供下列文件和资料：</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1.保险金给付申请书；</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2.保险金申请人的有效身份证件；</w:t>
      </w:r>
    </w:p>
    <w:p>
      <w:pPr>
        <w:pStyle w:val="13"/>
        <w:adjustRightInd w:val="0"/>
        <w:snapToGrid w:val="0"/>
        <w:spacing w:afterLines="50"/>
        <w:ind w:firstLine="420" w:firstLineChars="200"/>
        <w:jc w:val="both"/>
        <w:rPr>
          <w:rFonts w:cs="宋体" w:asciiTheme="majorEastAsia" w:hAnsiTheme="majorEastAsia" w:eastAsiaTheme="majorEastAsia"/>
          <w:sz w:val="21"/>
          <w:szCs w:val="21"/>
        </w:rPr>
      </w:pPr>
      <w:r>
        <w:rPr>
          <w:rFonts w:hint="eastAsia" w:cs="宋体" w:asciiTheme="majorEastAsia" w:hAnsiTheme="majorEastAsia" w:eastAsiaTheme="majorEastAsia"/>
          <w:sz w:val="21"/>
          <w:szCs w:val="21"/>
        </w:rPr>
        <w:t>3.被保险人身份证明；</w:t>
      </w:r>
    </w:p>
    <w:p>
      <w:pPr>
        <w:pStyle w:val="13"/>
        <w:adjustRightInd w:val="0"/>
        <w:snapToGrid w:val="0"/>
        <w:spacing w:afterLines="50"/>
        <w:ind w:firstLine="420" w:firstLineChars="200"/>
        <w:jc w:val="both"/>
        <w:rPr>
          <w:rFonts w:cs="宋体" w:asciiTheme="majorEastAsia" w:hAnsiTheme="majorEastAsia" w:eastAsiaTheme="majorEastAsia"/>
          <w:sz w:val="21"/>
          <w:szCs w:val="21"/>
        </w:rPr>
      </w:pPr>
      <w:r>
        <w:rPr>
          <w:rFonts w:hint="eastAsia" w:asciiTheme="majorEastAsia" w:hAnsiTheme="majorEastAsia" w:eastAsiaTheme="majorEastAsia"/>
          <w:sz w:val="21"/>
          <w:szCs w:val="21"/>
        </w:rPr>
        <w:t>4.</w:t>
      </w:r>
      <w:r>
        <w:rPr>
          <w:rFonts w:asciiTheme="majorEastAsia" w:hAnsiTheme="majorEastAsia" w:eastAsiaTheme="majorEastAsia"/>
          <w:sz w:val="21"/>
          <w:szCs w:val="21"/>
        </w:rPr>
        <w:t>被保险人银行账户信息；</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5.由双方认可的</w:t>
      </w:r>
      <w:r>
        <w:rPr>
          <w:rFonts w:asciiTheme="majorEastAsia" w:hAnsiTheme="majorEastAsia" w:eastAsiaTheme="majorEastAsia"/>
          <w:sz w:val="21"/>
          <w:szCs w:val="21"/>
        </w:rPr>
        <w:t>二级以上（含二级）或保险人认可的医疗机构</w:t>
      </w:r>
      <w:r>
        <w:rPr>
          <w:rFonts w:hint="eastAsia" w:cs="宋体" w:asciiTheme="majorEastAsia" w:hAnsiTheme="majorEastAsia" w:eastAsiaTheme="majorEastAsia"/>
          <w:sz w:val="21"/>
          <w:szCs w:val="21"/>
        </w:rPr>
        <w:t>或者有资质的鉴定机构出具的被保险人伤残程度的资料或者身体伤残程度评定书；</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sz w:val="21"/>
          <w:szCs w:val="21"/>
        </w:rPr>
        <w:t>6.所能提供的与确认保险事故的性质、原因、伤害程度等有关的其他证明和资料；</w:t>
      </w:r>
    </w:p>
    <w:p>
      <w:pPr>
        <w:pStyle w:val="33"/>
        <w:adjustRightInd w:val="0"/>
        <w:snapToGrid w:val="0"/>
        <w:spacing w:afterLines="50"/>
        <w:ind w:firstLineChars="200"/>
        <w:rPr>
          <w:rFonts w:asciiTheme="majorEastAsia" w:hAnsiTheme="majorEastAsia" w:eastAsiaTheme="majorEastAsia"/>
          <w:sz w:val="21"/>
          <w:szCs w:val="21"/>
        </w:rPr>
      </w:pPr>
      <w:r>
        <w:rPr>
          <w:rFonts w:hint="eastAsia" w:cs="宋体" w:asciiTheme="majorEastAsia" w:hAnsiTheme="majorEastAsia" w:eastAsiaTheme="majorEastAsia"/>
          <w:sz w:val="21"/>
          <w:szCs w:val="21"/>
        </w:rPr>
        <w:t>7.若保险金申请人委托他人申请的，还应提供授权委托书原件、委托人和受托人的身份证明等相关证明文件。</w:t>
      </w:r>
      <w:r>
        <w:rPr>
          <w:rFonts w:asciiTheme="majorEastAsia" w:hAnsiTheme="majorEastAsia" w:eastAsiaTheme="majorEastAsia"/>
          <w:sz w:val="21"/>
          <w:szCs w:val="21"/>
        </w:rPr>
        <w:t>受益人为无民事行为能力人或者限制民事行为能力人的，由其监护人代为申领保险金，并需要提供监护人的身份证明等资料。</w:t>
      </w:r>
    </w:p>
    <w:p>
      <w:pPr>
        <w:adjustRightInd w:val="0"/>
        <w:snapToGrid w:val="0"/>
        <w:spacing w:afterLines="50"/>
        <w:ind w:firstLine="422" w:firstLineChars="200"/>
        <w:rPr>
          <w:b/>
          <w:bCs/>
          <w:sz w:val="21"/>
          <w:szCs w:val="21"/>
        </w:rPr>
      </w:pPr>
      <w:r>
        <w:rPr>
          <w:rFonts w:hint="eastAsia"/>
          <w:b/>
          <w:bCs/>
          <w:sz w:val="21"/>
          <w:szCs w:val="21"/>
        </w:rPr>
        <w:t>第二十六条</w:t>
      </w:r>
      <w:r>
        <w:rPr>
          <w:b/>
          <w:bCs/>
          <w:sz w:val="21"/>
          <w:szCs w:val="21"/>
        </w:rPr>
        <w:t xml:space="preserve"> </w:t>
      </w:r>
      <w:r>
        <w:rPr>
          <w:rFonts w:hint="eastAsia"/>
          <w:b/>
          <w:bCs/>
          <w:sz w:val="21"/>
          <w:szCs w:val="21"/>
        </w:rPr>
        <w:t>未发生保险事故，被保险人或者受益人谎称发生了保险事故，向保险人提出给付保险金请求的，保险人有权解除合同，并不退还保险费。</w:t>
      </w:r>
    </w:p>
    <w:p>
      <w:pPr>
        <w:adjustRightInd w:val="0"/>
        <w:snapToGrid w:val="0"/>
        <w:spacing w:afterLines="50"/>
        <w:ind w:firstLine="422" w:firstLineChars="200"/>
        <w:rPr>
          <w:b/>
          <w:bCs/>
          <w:sz w:val="21"/>
          <w:szCs w:val="21"/>
        </w:rPr>
      </w:pPr>
      <w:r>
        <w:rPr>
          <w:rFonts w:hint="eastAsia"/>
          <w:b/>
          <w:bCs/>
          <w:sz w:val="21"/>
          <w:szCs w:val="21"/>
        </w:rPr>
        <w:t>投保人、被保险人故意制造保险事故的，保险人有权解除合同，不承担给付保险金的责任；除保险法另有规定外，不退还保险费。</w:t>
      </w:r>
    </w:p>
    <w:p>
      <w:pPr>
        <w:adjustRightInd w:val="0"/>
        <w:snapToGrid w:val="0"/>
        <w:spacing w:afterLines="50"/>
        <w:ind w:firstLine="422" w:firstLineChars="200"/>
        <w:rPr>
          <w:b/>
          <w:bCs/>
          <w:sz w:val="21"/>
          <w:szCs w:val="21"/>
        </w:rPr>
      </w:pPr>
      <w:r>
        <w:rPr>
          <w:rFonts w:hint="eastAsia"/>
          <w:b/>
          <w:bCs/>
          <w:sz w:val="21"/>
          <w:szCs w:val="21"/>
        </w:rPr>
        <w:t>保险事故发生后，投保人、被保险人或者受益人以伪造、变造的有关证明、资料或者其他证据，编造虚假的事故原因或者夸大损失程度的，保险人对其虚报的部分不承担给付保险金的责任。</w:t>
      </w:r>
    </w:p>
    <w:p>
      <w:pPr>
        <w:adjustRightInd w:val="0"/>
        <w:snapToGrid w:val="0"/>
        <w:spacing w:afterLines="50"/>
        <w:ind w:firstLine="422" w:firstLineChars="200"/>
        <w:rPr>
          <w:b/>
          <w:bCs/>
          <w:sz w:val="21"/>
          <w:szCs w:val="21"/>
        </w:rPr>
      </w:pPr>
      <w:r>
        <w:rPr>
          <w:rFonts w:hint="eastAsia"/>
          <w:b/>
          <w:bCs/>
          <w:sz w:val="21"/>
          <w:szCs w:val="21"/>
        </w:rPr>
        <w:t>投保人、被保险人或者受益人有前三款规定行为之一，致使保险人支付保险金或者支出费用的，应当退回或者赔偿。</w:t>
      </w:r>
    </w:p>
    <w:p>
      <w:pPr>
        <w:pStyle w:val="13"/>
        <w:adjustRightInd w:val="0"/>
        <w:snapToGrid w:val="0"/>
        <w:spacing w:afterLines="50"/>
        <w:ind w:firstLine="422" w:firstLineChars="200"/>
        <w:jc w:val="both"/>
        <w:rPr>
          <w:rFonts w:cs="宋体"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第二十七条 </w:t>
      </w:r>
      <w:r>
        <w:rPr>
          <w:rFonts w:hint="eastAsia" w:cs="宋体" w:asciiTheme="majorEastAsia" w:hAnsiTheme="majorEastAsia" w:eastAsiaTheme="majorEastAsia"/>
          <w:sz w:val="21"/>
          <w:szCs w:val="21"/>
        </w:rPr>
        <w:t>保险金申请人向保险人请求给付保险金的诉讼时效期间为二年，自其知道或者应当知道保险事故发生之日起计算。</w:t>
      </w:r>
    </w:p>
    <w:p>
      <w:pPr>
        <w:widowControl w:val="0"/>
        <w:adjustRightInd w:val="0"/>
        <w:snapToGrid w:val="0"/>
        <w:spacing w:afterLines="50"/>
        <w:ind w:firstLine="422" w:firstLineChars="200"/>
        <w:jc w:val="center"/>
        <w:rPr>
          <w:rFonts w:ascii="宋体" w:hAnsi="宋体" w:eastAsia="宋体" w:cs="宋体"/>
          <w:b/>
          <w:bCs/>
          <w:sz w:val="21"/>
          <w:szCs w:val="21"/>
        </w:rPr>
      </w:pPr>
      <w:r>
        <w:rPr>
          <w:rFonts w:hint="eastAsia" w:ascii="宋体" w:hAnsi="宋体" w:eastAsia="宋体" w:cs="宋体"/>
          <w:b/>
          <w:bCs/>
          <w:sz w:val="21"/>
          <w:szCs w:val="21"/>
        </w:rPr>
        <w:t>合同的解除</w:t>
      </w:r>
    </w:p>
    <w:p>
      <w:pPr>
        <w:adjustRightInd w:val="0"/>
        <w:snapToGrid w:val="0"/>
        <w:spacing w:afterLines="50"/>
        <w:ind w:firstLine="422" w:firstLineChars="200"/>
        <w:rPr>
          <w:sz w:val="21"/>
          <w:szCs w:val="21"/>
        </w:rPr>
      </w:pPr>
      <w:r>
        <w:rPr>
          <w:rStyle w:val="30"/>
          <w:rFonts w:hint="eastAsia" w:cs="宋体"/>
          <w:b/>
          <w:color w:val="auto"/>
          <w:sz w:val="21"/>
          <w:szCs w:val="21"/>
        </w:rPr>
        <w:t xml:space="preserve">第二十八条 </w:t>
      </w:r>
      <w:r>
        <w:rPr>
          <w:rFonts w:hint="eastAsia"/>
          <w:sz w:val="21"/>
          <w:szCs w:val="21"/>
        </w:rPr>
        <w:t>在本保险合同成立后，投保人可以书面形式通知保险人解除合同，但保险人已根据本保险合同的约定给付保险金的除外。投保人解除本保险合同时，应提供下列证明文件和资料：</w:t>
      </w:r>
    </w:p>
    <w:p>
      <w:pPr>
        <w:adjustRightInd w:val="0"/>
        <w:snapToGrid w:val="0"/>
        <w:spacing w:afterLines="50"/>
        <w:ind w:firstLine="420" w:firstLineChars="200"/>
        <w:rPr>
          <w:sz w:val="21"/>
          <w:szCs w:val="21"/>
        </w:rPr>
      </w:pPr>
      <w:r>
        <w:rPr>
          <w:rFonts w:hint="eastAsia"/>
          <w:sz w:val="21"/>
          <w:szCs w:val="21"/>
        </w:rPr>
        <w:t>（一）保险合同解除申请书；</w:t>
      </w:r>
    </w:p>
    <w:p>
      <w:pPr>
        <w:adjustRightInd w:val="0"/>
        <w:snapToGrid w:val="0"/>
        <w:spacing w:afterLines="50"/>
        <w:ind w:firstLine="420" w:firstLineChars="200"/>
        <w:rPr>
          <w:sz w:val="21"/>
          <w:szCs w:val="21"/>
        </w:rPr>
      </w:pPr>
      <w:r>
        <w:rPr>
          <w:rFonts w:hint="eastAsia"/>
          <w:sz w:val="21"/>
          <w:szCs w:val="21"/>
        </w:rPr>
        <w:t>（二）保险合同原件；</w:t>
      </w:r>
    </w:p>
    <w:p>
      <w:pPr>
        <w:adjustRightInd w:val="0"/>
        <w:snapToGrid w:val="0"/>
        <w:spacing w:afterLines="50"/>
        <w:ind w:firstLine="420" w:firstLineChars="200"/>
        <w:rPr>
          <w:sz w:val="21"/>
          <w:szCs w:val="21"/>
        </w:rPr>
      </w:pPr>
      <w:r>
        <w:rPr>
          <w:rFonts w:hint="eastAsia"/>
          <w:sz w:val="21"/>
          <w:szCs w:val="21"/>
        </w:rPr>
        <w:t>（三）保险费交付凭证；</w:t>
      </w:r>
    </w:p>
    <w:p>
      <w:pPr>
        <w:adjustRightInd w:val="0"/>
        <w:snapToGrid w:val="0"/>
        <w:spacing w:afterLines="50"/>
        <w:ind w:firstLine="420" w:firstLineChars="200"/>
        <w:rPr>
          <w:sz w:val="21"/>
          <w:szCs w:val="21"/>
        </w:rPr>
      </w:pPr>
      <w:r>
        <w:rPr>
          <w:rFonts w:hint="eastAsia"/>
          <w:sz w:val="21"/>
          <w:szCs w:val="21"/>
        </w:rPr>
        <w:t>（四）投保人身份证明。</w:t>
      </w:r>
    </w:p>
    <w:p>
      <w:pPr>
        <w:adjustRightInd w:val="0"/>
        <w:snapToGrid w:val="0"/>
        <w:spacing w:afterLines="50"/>
        <w:ind w:firstLine="420" w:firstLineChars="200"/>
        <w:rPr>
          <w:sz w:val="21"/>
          <w:szCs w:val="21"/>
        </w:rPr>
      </w:pPr>
      <w:r>
        <w:rPr>
          <w:rFonts w:hint="eastAsia"/>
          <w:sz w:val="21"/>
          <w:szCs w:val="21"/>
        </w:rPr>
        <w:t>投保人要求解除本保险合同，自保险人接到保险合同解除申请书之日次日零时起，本保险合同的效力终止。保险人收到上述证明文件和资料之日起30日内退还本保险合同的未满期保险费。</w:t>
      </w:r>
    </w:p>
    <w:p>
      <w:pPr>
        <w:pStyle w:val="13"/>
        <w:adjustRightInd w:val="0"/>
        <w:snapToGrid w:val="0"/>
        <w:spacing w:afterLines="50"/>
        <w:ind w:firstLine="422" w:firstLineChars="200"/>
        <w:jc w:val="center"/>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争议处理和法律适用</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第二十九条 </w:t>
      </w:r>
      <w:r>
        <w:rPr>
          <w:rFonts w:hint="eastAsia" w:cs="宋体" w:asciiTheme="majorEastAsia" w:hAnsiTheme="majorEastAsia" w:eastAsiaTheme="majorEastAsia"/>
          <w:color w:val="222222"/>
          <w:sz w:val="21"/>
          <w:szCs w:val="21"/>
        </w:rPr>
        <w:t>因履行本合同发生的争议，由当事人协商解决。协商不成的，提交保险合同载明的仲裁机构仲裁；保险合同未载明仲裁机构且争议发生后未达成仲裁协议的，依法向中华人民共和国（</w:t>
      </w:r>
      <w:r>
        <w:rPr>
          <w:rFonts w:hint="eastAsia" w:cs="宋体" w:asciiTheme="majorEastAsia" w:hAnsiTheme="majorEastAsia" w:eastAsiaTheme="majorEastAsia"/>
          <w:b/>
          <w:color w:val="222222"/>
          <w:sz w:val="21"/>
          <w:szCs w:val="21"/>
        </w:rPr>
        <w:t>不包括港、澳、台地区</w:t>
      </w:r>
      <w:r>
        <w:rPr>
          <w:rFonts w:hint="eastAsia" w:cs="宋体" w:asciiTheme="majorEastAsia" w:hAnsiTheme="majorEastAsia" w:eastAsiaTheme="majorEastAsia"/>
          <w:color w:val="222222"/>
          <w:sz w:val="21"/>
          <w:szCs w:val="21"/>
        </w:rPr>
        <w:t>）人民法院起诉。</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第三十条 </w:t>
      </w:r>
      <w:r>
        <w:rPr>
          <w:rFonts w:hint="eastAsia" w:cs="宋体" w:asciiTheme="majorEastAsia" w:hAnsiTheme="majorEastAsia" w:eastAsiaTheme="majorEastAsia"/>
          <w:sz w:val="21"/>
          <w:szCs w:val="21"/>
        </w:rPr>
        <w:t>本合同争议处理适用中华人民共和国法律</w:t>
      </w:r>
      <w:r>
        <w:rPr>
          <w:rFonts w:hint="eastAsia" w:cs="宋体" w:asciiTheme="majorEastAsia" w:hAnsiTheme="majorEastAsia" w:eastAsiaTheme="majorEastAsia"/>
          <w:b/>
          <w:sz w:val="21"/>
          <w:szCs w:val="21"/>
        </w:rPr>
        <w:t>（不包括港、澳、台地区法律）</w:t>
      </w:r>
      <w:r>
        <w:rPr>
          <w:rFonts w:hint="eastAsia" w:cs="宋体" w:asciiTheme="majorEastAsia" w:hAnsiTheme="majorEastAsia" w:eastAsiaTheme="majorEastAsia"/>
          <w:sz w:val="21"/>
          <w:szCs w:val="21"/>
        </w:rPr>
        <w:t>。</w:t>
      </w:r>
    </w:p>
    <w:p>
      <w:pPr>
        <w:pStyle w:val="13"/>
        <w:adjustRightInd w:val="0"/>
        <w:snapToGrid w:val="0"/>
        <w:spacing w:afterLines="50"/>
        <w:ind w:firstLine="422" w:firstLineChars="200"/>
        <w:jc w:val="center"/>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其他事项</w:t>
      </w:r>
    </w:p>
    <w:p>
      <w:pPr>
        <w:pStyle w:val="13"/>
        <w:adjustRightInd w:val="0"/>
        <w:snapToGrid w:val="0"/>
        <w:spacing w:afterLines="50"/>
        <w:ind w:firstLine="422" w:firstLineChars="200"/>
        <w:jc w:val="both"/>
        <w:rPr>
          <w:rStyle w:val="30"/>
          <w:rFonts w:cs="宋体" w:asciiTheme="majorEastAsia" w:hAnsiTheme="majorEastAsia" w:eastAsiaTheme="majorEastAsia"/>
          <w:b/>
          <w:sz w:val="21"/>
          <w:szCs w:val="21"/>
        </w:rPr>
      </w:pPr>
      <w:r>
        <w:rPr>
          <w:rStyle w:val="30"/>
          <w:rFonts w:hint="eastAsia" w:cs="宋体" w:asciiTheme="majorEastAsia" w:hAnsiTheme="majorEastAsia" w:eastAsiaTheme="majorEastAsia"/>
          <w:b/>
          <w:sz w:val="21"/>
          <w:szCs w:val="21"/>
        </w:rPr>
        <w:t xml:space="preserve">第三十一条 </w:t>
      </w:r>
      <w:r>
        <w:rPr>
          <w:rFonts w:ascii="宋体" w:eastAsia="宋体" w:cs="宋体"/>
          <w:sz w:val="21"/>
          <w:szCs w:val="21"/>
        </w:rPr>
        <w:t>投保人提出保险要求，经保险人同意承保，保险合同成立。依法成立的保险合同，自双方约定的保险起期开始时生效，</w:t>
      </w:r>
      <w:r>
        <w:rPr>
          <w:rFonts w:ascii="宋体" w:eastAsia="宋体" w:cs="宋体"/>
          <w:b/>
          <w:bCs/>
          <w:sz w:val="21"/>
          <w:szCs w:val="21"/>
        </w:rPr>
        <w:t>但投保人未向保险人交清保险费或未按双方约定向保险人交付保险费的情形除外。</w:t>
      </w:r>
    </w:p>
    <w:p>
      <w:pPr>
        <w:pStyle w:val="13"/>
        <w:adjustRightInd w:val="0"/>
        <w:snapToGrid w:val="0"/>
        <w:spacing w:afterLines="50"/>
        <w:ind w:firstLine="422" w:firstLineChars="200"/>
        <w:jc w:val="center"/>
        <w:rPr>
          <w:rFonts w:asciiTheme="majorEastAsia" w:hAnsiTheme="majorEastAsia" w:eastAsiaTheme="majorEastAsia"/>
          <w:sz w:val="21"/>
          <w:szCs w:val="21"/>
        </w:rPr>
      </w:pPr>
      <w:r>
        <w:rPr>
          <w:rFonts w:hint="eastAsia" w:cs="宋体" w:asciiTheme="majorEastAsia" w:hAnsiTheme="majorEastAsia" w:eastAsiaTheme="majorEastAsia"/>
          <w:b/>
          <w:color w:val="222222"/>
          <w:sz w:val="21"/>
          <w:szCs w:val="21"/>
        </w:rPr>
        <w:t>释义</w:t>
      </w:r>
    </w:p>
    <w:p>
      <w:pPr>
        <w:pStyle w:val="13"/>
        <w:adjustRightInd w:val="0"/>
        <w:snapToGrid w:val="0"/>
        <w:spacing w:afterLines="50"/>
        <w:ind w:firstLine="422" w:firstLineChars="200"/>
        <w:jc w:val="both"/>
        <w:rPr>
          <w:rFonts w:asciiTheme="majorEastAsia" w:hAnsiTheme="majorEastAsia" w:eastAsiaTheme="majorEastAsia"/>
          <w:sz w:val="21"/>
          <w:szCs w:val="21"/>
        </w:rPr>
      </w:pPr>
      <w:r>
        <w:rPr>
          <w:rFonts w:hint="eastAsia" w:cs="宋体" w:asciiTheme="majorEastAsia" w:hAnsiTheme="majorEastAsia" w:eastAsiaTheme="majorEastAsia"/>
          <w:b/>
          <w:sz w:val="21"/>
          <w:szCs w:val="21"/>
        </w:rPr>
        <w:t xml:space="preserve">第三十二条 </w:t>
      </w:r>
      <w:r>
        <w:rPr>
          <w:rFonts w:hint="eastAsia" w:cs="宋体" w:asciiTheme="majorEastAsia" w:hAnsiTheme="majorEastAsia" w:eastAsiaTheme="majorEastAsia"/>
          <w:sz w:val="21"/>
          <w:szCs w:val="21"/>
        </w:rPr>
        <w:t>本合同涉及下列术语时，适用以下释义：</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【保险人】指与投保人签订本合同的中原农业保险股份有限公司。</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【意外伤害】指外来的、突然的、非本意的、非疾病的使被保险人身体受到伤害的客观事件，并以此客观事件为直接且单独原因导致被保险人身体蒙受伤害或者身故。</w:t>
      </w:r>
    </w:p>
    <w:p>
      <w:pPr>
        <w:pStyle w:val="13"/>
        <w:adjustRightInd w:val="0"/>
        <w:snapToGrid w:val="0"/>
        <w:spacing w:afterLines="50"/>
        <w:ind w:firstLine="420" w:firstLineChars="200"/>
        <w:jc w:val="both"/>
        <w:rPr>
          <w:rFonts w:cs="宋体" w:asciiTheme="majorEastAsia" w:hAnsiTheme="majorEastAsia" w:eastAsiaTheme="majorEastAsia"/>
          <w:color w:val="222222"/>
          <w:sz w:val="21"/>
          <w:szCs w:val="21"/>
        </w:rPr>
      </w:pPr>
      <w:r>
        <w:rPr>
          <w:rFonts w:hint="eastAsia" w:cs="宋体" w:asciiTheme="majorEastAsia" w:hAnsiTheme="majorEastAsia" w:eastAsiaTheme="majorEastAsia"/>
          <w:color w:val="222222"/>
          <w:sz w:val="21"/>
          <w:szCs w:val="21"/>
        </w:rPr>
        <w:t>猝死指表面健康的人因潜在疾病、机能障碍或者其他原因在出现症状后24小时内发生的非暴力性突然死亡。猝死的认定以</w:t>
      </w:r>
      <w:r>
        <w:rPr>
          <w:rFonts w:hint="eastAsia" w:cs="宋体" w:asciiTheme="majorEastAsia" w:hAnsiTheme="majorEastAsia" w:eastAsiaTheme="majorEastAsia"/>
          <w:b/>
          <w:color w:val="222222"/>
          <w:sz w:val="21"/>
          <w:szCs w:val="21"/>
        </w:rPr>
        <w:t>医院</w:t>
      </w:r>
      <w:r>
        <w:rPr>
          <w:rFonts w:hint="eastAsia" w:cs="宋体" w:asciiTheme="majorEastAsia" w:hAnsiTheme="majorEastAsia" w:eastAsiaTheme="majorEastAsia"/>
          <w:color w:val="222222"/>
          <w:sz w:val="21"/>
          <w:szCs w:val="21"/>
        </w:rPr>
        <w:t>的诊断和公安部门的鉴定为准。</w:t>
      </w:r>
    </w:p>
    <w:p>
      <w:pPr>
        <w:pStyle w:val="13"/>
        <w:adjustRightInd w:val="0"/>
        <w:snapToGrid w:val="0"/>
        <w:spacing w:afterLines="50"/>
        <w:ind w:firstLine="420" w:firstLineChars="200"/>
        <w:jc w:val="both"/>
        <w:rPr>
          <w:rFonts w:ascii="宋体" w:hAnsi="宋体" w:eastAsia="宋体" w:cs="宋体"/>
          <w:color w:val="222222"/>
          <w:sz w:val="21"/>
          <w:szCs w:val="21"/>
        </w:rPr>
      </w:pPr>
      <w:r>
        <w:rPr>
          <w:rFonts w:hint="eastAsia" w:cs="宋体" w:asciiTheme="majorEastAsia" w:hAnsiTheme="majorEastAsia" w:eastAsiaTheme="majorEastAsia"/>
          <w:color w:val="222222"/>
          <w:sz w:val="21"/>
          <w:szCs w:val="21"/>
        </w:rPr>
        <w:t>【</w:t>
      </w:r>
      <w:r>
        <w:rPr>
          <w:rFonts w:hint="eastAsia" w:ascii="宋体" w:hAnsi="宋体" w:eastAsia="宋体" w:cs="宋体"/>
          <w:bCs/>
          <w:sz w:val="21"/>
          <w:szCs w:val="21"/>
        </w:rPr>
        <w:t>艾滋病（AIDS）或感染艾滋病病毒（HIV）</w:t>
      </w:r>
      <w:r>
        <w:rPr>
          <w:rFonts w:hint="eastAsia" w:cs="宋体" w:asciiTheme="majorEastAsia" w:hAnsiTheme="majorEastAsia" w:eastAsiaTheme="majorEastAsia"/>
          <w:color w:val="222222"/>
          <w:sz w:val="21"/>
          <w:szCs w:val="21"/>
        </w:rPr>
        <w:t>】</w:t>
      </w:r>
      <w:r>
        <w:rPr>
          <w:rFonts w:hint="eastAsia" w:ascii="宋体" w:hAnsi="宋体" w:eastAsia="宋体" w:cs="宋体"/>
          <w:color w:val="222222"/>
          <w:sz w:val="21"/>
          <w:szCs w:val="21"/>
        </w:rPr>
        <w:t>按世界卫生组织所订的定义为准。若在被保险人的血液样本中发现上述病毒的抗体，则认定被保险人己被艾滋病毒感染。</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高风险运动】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损失或减轻损失，包括但不限于潜水，滑水，滑雪，滑冰，驾驶或乘坐滑翔翼、滑翔伞，跳伞，攀岩运动，探险活动，武术比赛，摔跤比赛，柔道，空手道，跆拳道，马术，拳击，特技表演，驾驶卡丁车，赛马，赛车，各种车辆表演，蹦极。</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【酒后驾驶】指经检测或者鉴定 ，发生保险事故时被保险人每百毫升血液中的酒精含量达到或者超过一定的标准，是否达到前述标准由公安机关交通管理部门依据《道路交通安全法》的规定认定，保险人根据公安机关交通管理部门的认定确认被保险人是否属于酒后驾驶。</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【无合法有效驾驶证驾驶】</w:t>
      </w:r>
      <w:r>
        <w:rPr>
          <w:rFonts w:hint="eastAsia" w:cs="宋体" w:asciiTheme="majorEastAsia" w:hAnsiTheme="majorEastAsia" w:eastAsiaTheme="majorEastAsia"/>
          <w:color w:val="000000"/>
          <w:sz w:val="21"/>
          <w:szCs w:val="21"/>
        </w:rPr>
        <w:t>指下列情形之一：</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（1）没有取得中华人民共和国有关主管部门颁发或者认可的驾驶资格证书；</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（2）驾驶与合法有效驾驶证准驾车型不相符合的车辆；</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（3）持审验不合格的驾驶证驾驶；</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（4）在驾驶证有效期内未按照中华人民共和国法律、行政法规的规定，定期对机动车驾驶证实施审验的；</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（5）驾驶证已过有效期的。</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 xml:space="preserve">【无合法有效行驶证】 </w:t>
      </w:r>
      <w:r>
        <w:rPr>
          <w:rFonts w:hint="eastAsia" w:cs="宋体" w:asciiTheme="majorEastAsia" w:hAnsiTheme="majorEastAsia" w:eastAsiaTheme="majorEastAsia"/>
          <w:color w:val="000000"/>
          <w:sz w:val="21"/>
          <w:szCs w:val="21"/>
        </w:rPr>
        <w:t>指发生保险事故时没有按照公安机关交通管理部门机动车登记制度的规定进行登记并领取机动车行驶证或者临时通行牌证等法定证件。包括下列情形之一：</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（1）未办理行驶证或者行驶证在申办过程中的；</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（2）机动车行驶证被依法注销登记的；</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（3）未在行驶证检验有效期内依法按时进行或者未通过机动车安全技术检验的。</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【机动车】指以动力装置驱动或者牵引，上道路行驶的供人员乘用或者用于运送物品以及进行工程专项作业的轮式车辆。</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【毒品】指中华人民共和国刑法规定的鸦片、海洛因、甲基苯丙胺（冰毒）、吗啡、大麻、可卡因以及国家规定管制的其他能够使人形成瘾癖的麻醉药品和精神药品，</w:t>
      </w:r>
      <w:r>
        <w:rPr>
          <w:rFonts w:hint="eastAsia" w:cs="宋体" w:asciiTheme="majorEastAsia" w:hAnsiTheme="majorEastAsia" w:eastAsiaTheme="majorEastAsia"/>
          <w:b/>
          <w:color w:val="222222"/>
          <w:sz w:val="21"/>
          <w:szCs w:val="21"/>
        </w:rPr>
        <w:t>但不包括由医生开具并遵医嘱使用的用于治疗疾病但含有毒品成分的处方药品。</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【不可抗力】指不能预见、不能避免并不能克服的客观情况。</w:t>
      </w:r>
    </w:p>
    <w:p>
      <w:pPr>
        <w:pStyle w:val="13"/>
        <w:adjustRightInd w:val="0"/>
        <w:snapToGrid w:val="0"/>
        <w:spacing w:afterLines="50"/>
        <w:ind w:firstLine="420" w:firstLineChars="200"/>
        <w:jc w:val="both"/>
        <w:rPr>
          <w:rFonts w:asciiTheme="majorEastAsia" w:hAnsiTheme="majorEastAsia" w:eastAsiaTheme="majorEastAsia"/>
          <w:sz w:val="21"/>
          <w:szCs w:val="21"/>
        </w:rPr>
      </w:pPr>
      <w:r>
        <w:rPr>
          <w:rFonts w:hint="eastAsia" w:cs="宋体" w:asciiTheme="majorEastAsia" w:hAnsiTheme="majorEastAsia" w:eastAsiaTheme="majorEastAsia"/>
          <w:color w:val="222222"/>
          <w:sz w:val="21"/>
          <w:szCs w:val="21"/>
        </w:rPr>
        <w:t>【保险金申请人】指被保险人、受益人或被保险人的继承人或依法享有保险金请求权的其他自然人。</w:t>
      </w:r>
    </w:p>
    <w:p>
      <w:pPr>
        <w:pStyle w:val="13"/>
        <w:adjustRightInd w:val="0"/>
        <w:snapToGrid w:val="0"/>
        <w:spacing w:afterLines="50"/>
        <w:ind w:firstLine="420" w:firstLineChars="200"/>
        <w:jc w:val="both"/>
        <w:rPr>
          <w:rFonts w:ascii="宋体" w:hAnsi="宋体" w:eastAsia="宋体" w:cs="宋体"/>
          <w:sz w:val="21"/>
          <w:szCs w:val="21"/>
        </w:rPr>
      </w:pPr>
      <w:r>
        <w:rPr>
          <w:rFonts w:hint="eastAsia" w:cs="宋体" w:asciiTheme="majorEastAsia" w:hAnsiTheme="majorEastAsia" w:eastAsiaTheme="majorEastAsia"/>
          <w:color w:val="222222"/>
          <w:sz w:val="21"/>
          <w:szCs w:val="21"/>
        </w:rPr>
        <w:t>【未满期保险费】</w:t>
      </w:r>
      <w:r>
        <w:rPr>
          <w:rFonts w:hint="eastAsia" w:ascii="宋体" w:hAnsi="宋体" w:eastAsia="宋体" w:cs="宋体"/>
          <w:sz w:val="21"/>
          <w:szCs w:val="21"/>
        </w:rPr>
        <w:t>未满期保险费＝保险费×（1- m/n），其中，m为已生效天数，n为保险期间的天数，经过天数不足一日的按一日计算。</w:t>
      </w:r>
    </w:p>
    <w:p>
      <w:pPr>
        <w:pStyle w:val="13"/>
        <w:adjustRightInd w:val="0"/>
        <w:snapToGrid w:val="0"/>
        <w:spacing w:afterLines="50"/>
        <w:ind w:firstLine="420" w:firstLineChars="200"/>
        <w:jc w:val="both"/>
        <w:rPr>
          <w:rFonts w:cs="宋体" w:asciiTheme="majorEastAsia" w:hAnsiTheme="majorEastAsia" w:eastAsiaTheme="majorEastAsia"/>
          <w:color w:val="222222"/>
          <w:sz w:val="21"/>
          <w:szCs w:val="21"/>
        </w:rPr>
      </w:pPr>
      <w:r>
        <w:rPr>
          <w:rFonts w:hint="eastAsia" w:cs="宋体" w:asciiTheme="majorEastAsia" w:hAnsiTheme="majorEastAsia" w:eastAsiaTheme="majorEastAsia"/>
          <w:color w:val="222222"/>
          <w:sz w:val="21"/>
          <w:szCs w:val="21"/>
        </w:rPr>
        <w:t>【医疗机构】指保险人与投保人约定的定点医院，未约定定点医院的，则指经中华人民共和国卫生部门评审确定的二级或二级以上的公立医院，</w:t>
      </w:r>
      <w:r>
        <w:rPr>
          <w:rFonts w:hint="eastAsia" w:cs="宋体" w:asciiTheme="majorEastAsia" w:hAnsiTheme="majorEastAsia" w:eastAsiaTheme="majorEastAsia"/>
          <w:b/>
          <w:color w:val="222222"/>
          <w:sz w:val="21"/>
          <w:szCs w:val="21"/>
        </w:rPr>
        <w:t>但不包括主要作为诊所、康复、护理、休养、静养、戒酒、戒毒等或类似的医疗机构。</w:t>
      </w:r>
      <w:r>
        <w:rPr>
          <w:rFonts w:hint="eastAsia" w:cs="宋体" w:asciiTheme="majorEastAsia" w:hAnsiTheme="majorEastAsia" w:eastAsiaTheme="majorEastAsia"/>
          <w:color w:val="222222"/>
          <w:sz w:val="21"/>
          <w:szCs w:val="21"/>
        </w:rPr>
        <w:t>该医院必须具有符合国家有关医院管理规则设置标准的医疗设备，且全天二十四小时有未满期合格医师及护士驻院提供医疗及护理服务。</w:t>
      </w:r>
    </w:p>
    <w:p>
      <w:pPr>
        <w:pStyle w:val="13"/>
        <w:adjustRightInd w:val="0"/>
        <w:snapToGrid w:val="0"/>
        <w:spacing w:afterLines="50"/>
        <w:ind w:firstLine="420" w:firstLineChars="200"/>
        <w:jc w:val="both"/>
        <w:rPr>
          <w:rFonts w:cs="宋体" w:asciiTheme="majorEastAsia" w:hAnsiTheme="majorEastAsia" w:eastAsiaTheme="majorEastAsia"/>
          <w:color w:val="222222"/>
          <w:sz w:val="21"/>
          <w:szCs w:val="21"/>
        </w:rPr>
      </w:pPr>
    </w:p>
    <w:p>
      <w:pPr>
        <w:pStyle w:val="13"/>
        <w:adjustRightInd w:val="0"/>
        <w:snapToGrid w:val="0"/>
        <w:spacing w:afterLines="50"/>
        <w:ind w:firstLine="420" w:firstLineChars="200"/>
        <w:jc w:val="both"/>
        <w:rPr>
          <w:rFonts w:asciiTheme="majorEastAsia" w:hAnsiTheme="majorEastAsia" w:eastAsiaTheme="majorEastAsia"/>
          <w:sz w:val="21"/>
          <w:szCs w:val="21"/>
        </w:rPr>
      </w:pPr>
    </w:p>
    <w:sectPr>
      <w:pgSz w:w="11907"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compat>
    <w:useFELayout/>
    <w:compatSetting w:name="compatibilityMode" w:uri="http://schemas.microsoft.com/office/word" w:val="12"/>
  </w:compat>
  <w:rsids>
    <w:rsidRoot w:val="004229EA"/>
    <w:rsid w:val="00033547"/>
    <w:rsid w:val="000711C2"/>
    <w:rsid w:val="0007569D"/>
    <w:rsid w:val="000945B3"/>
    <w:rsid w:val="000B4EC0"/>
    <w:rsid w:val="000B6FDC"/>
    <w:rsid w:val="000C3038"/>
    <w:rsid w:val="000E4F20"/>
    <w:rsid w:val="000E7562"/>
    <w:rsid w:val="00116065"/>
    <w:rsid w:val="001207DD"/>
    <w:rsid w:val="001256C8"/>
    <w:rsid w:val="001411EE"/>
    <w:rsid w:val="00155C5B"/>
    <w:rsid w:val="00172512"/>
    <w:rsid w:val="00182BFC"/>
    <w:rsid w:val="001A3D0C"/>
    <w:rsid w:val="001B3CA7"/>
    <w:rsid w:val="001C5BFD"/>
    <w:rsid w:val="001D052E"/>
    <w:rsid w:val="0022124B"/>
    <w:rsid w:val="00221F5E"/>
    <w:rsid w:val="00237309"/>
    <w:rsid w:val="00254DA5"/>
    <w:rsid w:val="00296C0C"/>
    <w:rsid w:val="002A76FA"/>
    <w:rsid w:val="002C3276"/>
    <w:rsid w:val="00313A3A"/>
    <w:rsid w:val="00316B6F"/>
    <w:rsid w:val="003226FB"/>
    <w:rsid w:val="00323B2A"/>
    <w:rsid w:val="00326A07"/>
    <w:rsid w:val="00331C59"/>
    <w:rsid w:val="00347D24"/>
    <w:rsid w:val="0036712F"/>
    <w:rsid w:val="00371C21"/>
    <w:rsid w:val="00376AFF"/>
    <w:rsid w:val="003906C2"/>
    <w:rsid w:val="003950FD"/>
    <w:rsid w:val="003C14B1"/>
    <w:rsid w:val="003D2CCD"/>
    <w:rsid w:val="003E3DFF"/>
    <w:rsid w:val="003F0CF8"/>
    <w:rsid w:val="003F71E1"/>
    <w:rsid w:val="004229EA"/>
    <w:rsid w:val="00457EE3"/>
    <w:rsid w:val="00466145"/>
    <w:rsid w:val="00471911"/>
    <w:rsid w:val="004A2B51"/>
    <w:rsid w:val="004B4DD9"/>
    <w:rsid w:val="004B518B"/>
    <w:rsid w:val="0052128B"/>
    <w:rsid w:val="00524A1C"/>
    <w:rsid w:val="005A020C"/>
    <w:rsid w:val="005B112F"/>
    <w:rsid w:val="005B2759"/>
    <w:rsid w:val="005B3DD9"/>
    <w:rsid w:val="005C59C5"/>
    <w:rsid w:val="005D5F9C"/>
    <w:rsid w:val="005D68E2"/>
    <w:rsid w:val="005E70AD"/>
    <w:rsid w:val="00600C7F"/>
    <w:rsid w:val="006773B5"/>
    <w:rsid w:val="006D03B4"/>
    <w:rsid w:val="006E2DDF"/>
    <w:rsid w:val="00743CEB"/>
    <w:rsid w:val="007570D8"/>
    <w:rsid w:val="00770409"/>
    <w:rsid w:val="007863C1"/>
    <w:rsid w:val="007C0EE2"/>
    <w:rsid w:val="007C778E"/>
    <w:rsid w:val="007E13D5"/>
    <w:rsid w:val="007E3271"/>
    <w:rsid w:val="008145FE"/>
    <w:rsid w:val="00815A4F"/>
    <w:rsid w:val="0081791E"/>
    <w:rsid w:val="008217C4"/>
    <w:rsid w:val="00825697"/>
    <w:rsid w:val="008463A0"/>
    <w:rsid w:val="00865AC1"/>
    <w:rsid w:val="00887857"/>
    <w:rsid w:val="008A2E54"/>
    <w:rsid w:val="008F3761"/>
    <w:rsid w:val="00932260"/>
    <w:rsid w:val="00945C8C"/>
    <w:rsid w:val="0094773D"/>
    <w:rsid w:val="0097198B"/>
    <w:rsid w:val="00972D0C"/>
    <w:rsid w:val="00985D34"/>
    <w:rsid w:val="00996F79"/>
    <w:rsid w:val="009B4C26"/>
    <w:rsid w:val="009B5D4C"/>
    <w:rsid w:val="009C0282"/>
    <w:rsid w:val="00A046D7"/>
    <w:rsid w:val="00A10231"/>
    <w:rsid w:val="00AA7D49"/>
    <w:rsid w:val="00B16931"/>
    <w:rsid w:val="00B16F0D"/>
    <w:rsid w:val="00B24C20"/>
    <w:rsid w:val="00B5737C"/>
    <w:rsid w:val="00B7743B"/>
    <w:rsid w:val="00B85D84"/>
    <w:rsid w:val="00B903C4"/>
    <w:rsid w:val="00BC08F0"/>
    <w:rsid w:val="00BD255D"/>
    <w:rsid w:val="00BE14FF"/>
    <w:rsid w:val="00BF081A"/>
    <w:rsid w:val="00BF37C6"/>
    <w:rsid w:val="00BF38F9"/>
    <w:rsid w:val="00C13D53"/>
    <w:rsid w:val="00C32E0B"/>
    <w:rsid w:val="00C3780A"/>
    <w:rsid w:val="00C9111B"/>
    <w:rsid w:val="00CE306D"/>
    <w:rsid w:val="00CE6BD2"/>
    <w:rsid w:val="00D2023A"/>
    <w:rsid w:val="00D7206E"/>
    <w:rsid w:val="00D75B3E"/>
    <w:rsid w:val="00D8104A"/>
    <w:rsid w:val="00D8764E"/>
    <w:rsid w:val="00DB3E44"/>
    <w:rsid w:val="00DE5042"/>
    <w:rsid w:val="00DF1181"/>
    <w:rsid w:val="00DF1777"/>
    <w:rsid w:val="00DF5A72"/>
    <w:rsid w:val="00E124D1"/>
    <w:rsid w:val="00E179BF"/>
    <w:rsid w:val="00E26CA0"/>
    <w:rsid w:val="00E4694C"/>
    <w:rsid w:val="00E519BC"/>
    <w:rsid w:val="00E81F74"/>
    <w:rsid w:val="00E8779E"/>
    <w:rsid w:val="00EA22E8"/>
    <w:rsid w:val="00EC357A"/>
    <w:rsid w:val="00F00AA6"/>
    <w:rsid w:val="00F20E55"/>
    <w:rsid w:val="00F22821"/>
    <w:rsid w:val="00F269D8"/>
    <w:rsid w:val="00F46888"/>
    <w:rsid w:val="00F503C3"/>
    <w:rsid w:val="00F73579"/>
    <w:rsid w:val="00F806AB"/>
    <w:rsid w:val="00FC07A7"/>
    <w:rsid w:val="00FC4A40"/>
    <w:rsid w:val="00FF6207"/>
    <w:rsid w:val="0136228C"/>
    <w:rsid w:val="073458EB"/>
    <w:rsid w:val="08D53905"/>
    <w:rsid w:val="095C34D4"/>
    <w:rsid w:val="0B4B69AA"/>
    <w:rsid w:val="0E55728D"/>
    <w:rsid w:val="0E9858A7"/>
    <w:rsid w:val="11F108BE"/>
    <w:rsid w:val="14881CBE"/>
    <w:rsid w:val="14B33174"/>
    <w:rsid w:val="157163A2"/>
    <w:rsid w:val="16C2023D"/>
    <w:rsid w:val="16F644BB"/>
    <w:rsid w:val="174C1586"/>
    <w:rsid w:val="18004DDC"/>
    <w:rsid w:val="18BF27C4"/>
    <w:rsid w:val="1C2936E9"/>
    <w:rsid w:val="1CD73CD1"/>
    <w:rsid w:val="1D3412FA"/>
    <w:rsid w:val="1D502DAA"/>
    <w:rsid w:val="1EEC3D32"/>
    <w:rsid w:val="204D04DC"/>
    <w:rsid w:val="22F904BA"/>
    <w:rsid w:val="231F2ED8"/>
    <w:rsid w:val="25E51A41"/>
    <w:rsid w:val="298A7D43"/>
    <w:rsid w:val="2AC36038"/>
    <w:rsid w:val="2AD4788E"/>
    <w:rsid w:val="2B8D3A91"/>
    <w:rsid w:val="2CAE751B"/>
    <w:rsid w:val="2D132744"/>
    <w:rsid w:val="2DC969F6"/>
    <w:rsid w:val="2FA842D1"/>
    <w:rsid w:val="322616A5"/>
    <w:rsid w:val="34950990"/>
    <w:rsid w:val="363018D7"/>
    <w:rsid w:val="39E25B1F"/>
    <w:rsid w:val="39F26558"/>
    <w:rsid w:val="3CB66647"/>
    <w:rsid w:val="3E487FE8"/>
    <w:rsid w:val="3E5C1A25"/>
    <w:rsid w:val="3F7A33B0"/>
    <w:rsid w:val="3F924541"/>
    <w:rsid w:val="400306D1"/>
    <w:rsid w:val="40230AD5"/>
    <w:rsid w:val="414113DA"/>
    <w:rsid w:val="46270506"/>
    <w:rsid w:val="47421543"/>
    <w:rsid w:val="47BC100C"/>
    <w:rsid w:val="49F64346"/>
    <w:rsid w:val="4B902983"/>
    <w:rsid w:val="4CD71C81"/>
    <w:rsid w:val="4E440F58"/>
    <w:rsid w:val="4E6F7F49"/>
    <w:rsid w:val="4EBD16A8"/>
    <w:rsid w:val="50C93510"/>
    <w:rsid w:val="516F50DB"/>
    <w:rsid w:val="553F62BB"/>
    <w:rsid w:val="558D0E62"/>
    <w:rsid w:val="58D844CD"/>
    <w:rsid w:val="59006219"/>
    <w:rsid w:val="5940697D"/>
    <w:rsid w:val="5BE17E4C"/>
    <w:rsid w:val="5EBD278E"/>
    <w:rsid w:val="5F652609"/>
    <w:rsid w:val="5FD828F8"/>
    <w:rsid w:val="5FDE07AA"/>
    <w:rsid w:val="603E4702"/>
    <w:rsid w:val="604466C9"/>
    <w:rsid w:val="608903E1"/>
    <w:rsid w:val="60B95960"/>
    <w:rsid w:val="627D2A7D"/>
    <w:rsid w:val="65B46596"/>
    <w:rsid w:val="671B386C"/>
    <w:rsid w:val="686512F7"/>
    <w:rsid w:val="688A2E16"/>
    <w:rsid w:val="6C884E57"/>
    <w:rsid w:val="7318051C"/>
    <w:rsid w:val="74322F3D"/>
    <w:rsid w:val="74DF3E21"/>
    <w:rsid w:val="75CD701F"/>
    <w:rsid w:val="764B4749"/>
    <w:rsid w:val="771D27A7"/>
    <w:rsid w:val="7770788A"/>
    <w:rsid w:val="780B0896"/>
    <w:rsid w:val="7827076D"/>
    <w:rsid w:val="79F44C4A"/>
    <w:rsid w:val="7C0A08B5"/>
    <w:rsid w:val="7C3C799F"/>
    <w:rsid w:val="7F521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sz w:val="24"/>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b/>
      <w:kern w:val="44"/>
      <w:sz w:val="48"/>
      <w:szCs w:val="48"/>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b/>
      <w:sz w:val="36"/>
      <w:szCs w:val="36"/>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b/>
      <w:sz w:val="27"/>
      <w:szCs w:val="27"/>
    </w:rPr>
  </w:style>
  <w:style w:type="paragraph" w:styleId="5">
    <w:name w:val="heading 4"/>
    <w:basedOn w:val="1"/>
    <w:next w:val="1"/>
    <w:semiHidden/>
    <w:unhideWhenUsed/>
    <w:qFormat/>
    <w:uiPriority w:val="0"/>
    <w:pPr>
      <w:spacing w:beforeAutospacing="1" w:afterAutospacing="1"/>
      <w:outlineLvl w:val="3"/>
    </w:pPr>
    <w:rPr>
      <w:rFonts w:hint="eastAsia" w:ascii="宋体" w:hAnsi="宋体" w:eastAsia="宋体"/>
      <w:b/>
    </w:rPr>
  </w:style>
  <w:style w:type="paragraph" w:styleId="6">
    <w:name w:val="heading 5"/>
    <w:basedOn w:val="1"/>
    <w:next w:val="1"/>
    <w:semiHidden/>
    <w:unhideWhenUsed/>
    <w:qFormat/>
    <w:uiPriority w:val="0"/>
    <w:pPr>
      <w:spacing w:beforeAutospacing="1" w:afterAutospacing="1"/>
      <w:outlineLvl w:val="4"/>
    </w:pPr>
    <w:rPr>
      <w:rFonts w:hint="eastAsia" w:ascii="宋体" w:hAnsi="宋体" w:eastAsia="宋体"/>
      <w:b/>
      <w:sz w:val="20"/>
      <w:szCs w:val="20"/>
    </w:rPr>
  </w:style>
  <w:style w:type="paragraph" w:styleId="7">
    <w:name w:val="heading 6"/>
    <w:basedOn w:val="1"/>
    <w:next w:val="1"/>
    <w:semiHidden/>
    <w:unhideWhenUsed/>
    <w:qFormat/>
    <w:uiPriority w:val="0"/>
    <w:pPr>
      <w:spacing w:beforeAutospacing="1" w:afterAutospacing="1"/>
      <w:outlineLvl w:val="5"/>
    </w:pPr>
    <w:rPr>
      <w:rFonts w:hint="eastAsia" w:ascii="宋体" w:hAnsi="宋体" w:eastAsia="宋体"/>
      <w:b/>
      <w:sz w:val="15"/>
      <w:szCs w:val="15"/>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36"/>
    <w:qFormat/>
    <w:uiPriority w:val="0"/>
    <w:rPr>
      <w:sz w:val="18"/>
      <w:szCs w:val="18"/>
    </w:rPr>
  </w:style>
  <w:style w:type="paragraph" w:styleId="9">
    <w:name w:val="footer"/>
    <w:basedOn w:val="1"/>
    <w:link w:val="38"/>
    <w:qFormat/>
    <w:uiPriority w:val="0"/>
    <w:pPr>
      <w:tabs>
        <w:tab w:val="center" w:pos="4153"/>
        <w:tab w:val="right" w:pos="8306"/>
      </w:tabs>
      <w:snapToGrid w:val="0"/>
    </w:pPr>
    <w:rPr>
      <w:sz w:val="18"/>
      <w:szCs w:val="18"/>
    </w:rPr>
  </w:style>
  <w:style w:type="paragraph" w:styleId="10">
    <w:name w:val="header"/>
    <w:basedOn w:val="1"/>
    <w:link w:val="37"/>
    <w:qFormat/>
    <w:uiPriority w:val="0"/>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link w:val="39"/>
    <w:qFormat/>
    <w:uiPriority w:val="0"/>
    <w:pPr>
      <w:widowControl w:val="0"/>
      <w:spacing w:before="240" w:after="60" w:line="312" w:lineRule="auto"/>
      <w:jc w:val="center"/>
      <w:outlineLvl w:val="1"/>
    </w:pPr>
    <w:rPr>
      <w:rFonts w:ascii="Cambria" w:hAnsi="Cambria" w:eastAsia="宋体"/>
      <w:b/>
      <w:bCs/>
      <w:kern w:val="28"/>
      <w:sz w:val="32"/>
      <w:szCs w:val="32"/>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rPr>
  </w:style>
  <w:style w:type="paragraph" w:styleId="13">
    <w:name w:val="Normal (Web)"/>
    <w:basedOn w:val="1"/>
    <w:qFormat/>
    <w:uiPriority w:val="0"/>
    <w:pPr>
      <w:spacing w:after="20"/>
    </w:pPr>
  </w:style>
  <w:style w:type="paragraph" w:customStyle="1" w:styleId="16">
    <w:name w:val="a7"/>
    <w:basedOn w:val="1"/>
    <w:qFormat/>
    <w:uiPriority w:val="0"/>
    <w:pPr>
      <w:jc w:val="center"/>
    </w:pPr>
  </w:style>
  <w:style w:type="character" w:customStyle="1" w:styleId="17">
    <w:name w:val="a6"/>
    <w:basedOn w:val="15"/>
    <w:qFormat/>
    <w:uiPriority w:val="0"/>
    <w:rPr>
      <w:sz w:val="18"/>
      <w:szCs w:val="18"/>
    </w:rPr>
  </w:style>
  <w:style w:type="character" w:customStyle="1" w:styleId="18">
    <w:name w:val="char"/>
    <w:basedOn w:val="15"/>
    <w:qFormat/>
    <w:uiPriority w:val="0"/>
    <w:rPr>
      <w:b/>
    </w:rPr>
  </w:style>
  <w:style w:type="paragraph" w:customStyle="1" w:styleId="19">
    <w:name w:val="x1"/>
    <w:basedOn w:val="1"/>
    <w:qFormat/>
    <w:uiPriority w:val="0"/>
    <w:pPr>
      <w:ind w:firstLine="1680"/>
    </w:pPr>
  </w:style>
  <w:style w:type="character" w:customStyle="1" w:styleId="20">
    <w:name w:val="a71"/>
    <w:basedOn w:val="15"/>
    <w:uiPriority w:val="0"/>
    <w:rPr>
      <w:sz w:val="18"/>
      <w:szCs w:val="18"/>
    </w:rPr>
  </w:style>
  <w:style w:type="character" w:customStyle="1" w:styleId="21">
    <w:name w:val="a3"/>
    <w:basedOn w:val="15"/>
    <w:qFormat/>
    <w:uiPriority w:val="0"/>
    <w:rPr>
      <w:b/>
    </w:rPr>
  </w:style>
  <w:style w:type="character" w:customStyle="1" w:styleId="22">
    <w:name w:val="char1"/>
    <w:basedOn w:val="15"/>
    <w:qFormat/>
    <w:uiPriority w:val="0"/>
    <w:rPr>
      <w:sz w:val="18"/>
      <w:szCs w:val="18"/>
    </w:rPr>
  </w:style>
  <w:style w:type="character" w:customStyle="1" w:styleId="23">
    <w:name w:val="a"/>
    <w:basedOn w:val="15"/>
    <w:qFormat/>
    <w:uiPriority w:val="0"/>
    <w:rPr>
      <w:sz w:val="22"/>
      <w:szCs w:val="22"/>
    </w:rPr>
  </w:style>
  <w:style w:type="character" w:customStyle="1" w:styleId="24">
    <w:name w:val="a5"/>
    <w:basedOn w:val="15"/>
    <w:qFormat/>
    <w:uiPriority w:val="0"/>
    <w:rPr>
      <w:sz w:val="18"/>
      <w:szCs w:val="18"/>
    </w:rPr>
  </w:style>
  <w:style w:type="character" w:customStyle="1" w:styleId="25">
    <w:name w:val="html"/>
    <w:basedOn w:val="15"/>
    <w:qFormat/>
    <w:uiPriority w:val="0"/>
    <w:rPr>
      <w:rFonts w:hint="eastAsia" w:ascii="宋体" w:hAnsi="宋体" w:eastAsia="宋体" w:cs="宋体"/>
      <w:sz w:val="24"/>
      <w:szCs w:val="24"/>
    </w:rPr>
  </w:style>
  <w:style w:type="character" w:customStyle="1" w:styleId="26">
    <w:name w:val="char2"/>
    <w:basedOn w:val="15"/>
    <w:qFormat/>
    <w:uiPriority w:val="0"/>
    <w:rPr>
      <w:sz w:val="18"/>
      <w:szCs w:val="18"/>
    </w:rPr>
  </w:style>
  <w:style w:type="character" w:customStyle="1" w:styleId="27">
    <w:name w:val="a8"/>
    <w:basedOn w:val="15"/>
    <w:qFormat/>
    <w:uiPriority w:val="0"/>
    <w:rPr>
      <w:sz w:val="20"/>
      <w:szCs w:val="20"/>
    </w:rPr>
  </w:style>
  <w:style w:type="paragraph" w:customStyle="1" w:styleId="28">
    <w:name w:val="x10"/>
    <w:basedOn w:val="1"/>
    <w:qFormat/>
    <w:uiPriority w:val="0"/>
    <w:pPr>
      <w:ind w:firstLine="420"/>
    </w:pPr>
  </w:style>
  <w:style w:type="character" w:customStyle="1" w:styleId="29">
    <w:name w:val="char3"/>
    <w:basedOn w:val="15"/>
    <w:qFormat/>
    <w:uiPriority w:val="0"/>
    <w:rPr>
      <w:sz w:val="18"/>
      <w:szCs w:val="18"/>
    </w:rPr>
  </w:style>
  <w:style w:type="character" w:customStyle="1" w:styleId="30">
    <w:name w:val="default"/>
    <w:basedOn w:val="15"/>
    <w:qFormat/>
    <w:uiPriority w:val="0"/>
    <w:rPr>
      <w:color w:val="000000"/>
      <w:sz w:val="24"/>
      <w:szCs w:val="24"/>
    </w:rPr>
  </w:style>
  <w:style w:type="character" w:customStyle="1" w:styleId="31">
    <w:name w:val="x11"/>
    <w:basedOn w:val="15"/>
    <w:qFormat/>
    <w:uiPriority w:val="0"/>
    <w:rPr>
      <w:rFonts w:ascii="Calibri" w:hAnsi="Calibri" w:cs="Calibri"/>
    </w:rPr>
  </w:style>
  <w:style w:type="character" w:customStyle="1" w:styleId="32">
    <w:name w:val="s81"/>
    <w:basedOn w:val="15"/>
    <w:qFormat/>
    <w:uiPriority w:val="0"/>
    <w:rPr>
      <w:rFonts w:hint="default" w:ascii="Times New Roman" w:hAnsi="Times New Roman" w:cs="Times New Roman"/>
    </w:rPr>
  </w:style>
  <w:style w:type="paragraph" w:customStyle="1" w:styleId="33">
    <w:name w:val="p12"/>
    <w:basedOn w:val="1"/>
    <w:qFormat/>
    <w:uiPriority w:val="0"/>
    <w:pPr>
      <w:ind w:firstLine="420"/>
      <w:jc w:val="both"/>
    </w:pPr>
    <w:rPr>
      <w:rFonts w:ascii="Times New Roman" w:hAnsi="Times New Roman"/>
      <w:sz w:val="20"/>
      <w:szCs w:val="20"/>
    </w:rPr>
  </w:style>
  <w:style w:type="character" w:customStyle="1" w:styleId="34">
    <w:name w:val="s11"/>
    <w:basedOn w:val="15"/>
    <w:qFormat/>
    <w:uiPriority w:val="0"/>
    <w:rPr>
      <w:b/>
    </w:rPr>
  </w:style>
  <w:style w:type="paragraph" w:customStyle="1" w:styleId="35">
    <w:name w:val="p6"/>
    <w:basedOn w:val="1"/>
    <w:qFormat/>
    <w:uiPriority w:val="0"/>
    <w:pPr>
      <w:ind w:left="360" w:hanging="360"/>
      <w:jc w:val="both"/>
    </w:pPr>
    <w:rPr>
      <w:rFonts w:hint="eastAsia" w:ascii="仿宋_GB2312" w:eastAsia="仿宋_GB2312"/>
      <w:sz w:val="18"/>
      <w:szCs w:val="18"/>
    </w:rPr>
  </w:style>
  <w:style w:type="character" w:customStyle="1" w:styleId="36">
    <w:name w:val="批注框文本 Char"/>
    <w:basedOn w:val="15"/>
    <w:link w:val="8"/>
    <w:qFormat/>
    <w:uiPriority w:val="0"/>
    <w:rPr>
      <w:rFonts w:asciiTheme="minorEastAsia" w:hAnsiTheme="minorEastAsia" w:eastAsiaTheme="minorEastAsia"/>
      <w:sz w:val="18"/>
      <w:szCs w:val="18"/>
    </w:rPr>
  </w:style>
  <w:style w:type="character" w:customStyle="1" w:styleId="37">
    <w:name w:val="页眉 Char"/>
    <w:basedOn w:val="15"/>
    <w:link w:val="10"/>
    <w:qFormat/>
    <w:uiPriority w:val="0"/>
    <w:rPr>
      <w:rFonts w:asciiTheme="minorEastAsia" w:hAnsiTheme="minorEastAsia" w:eastAsiaTheme="minorEastAsia"/>
      <w:sz w:val="18"/>
      <w:szCs w:val="18"/>
    </w:rPr>
  </w:style>
  <w:style w:type="character" w:customStyle="1" w:styleId="38">
    <w:name w:val="页脚 Char"/>
    <w:basedOn w:val="15"/>
    <w:link w:val="9"/>
    <w:qFormat/>
    <w:uiPriority w:val="0"/>
    <w:rPr>
      <w:rFonts w:asciiTheme="minorEastAsia" w:hAnsiTheme="minorEastAsia" w:eastAsiaTheme="minorEastAsia"/>
      <w:sz w:val="18"/>
      <w:szCs w:val="18"/>
    </w:rPr>
  </w:style>
  <w:style w:type="character" w:customStyle="1" w:styleId="39">
    <w:name w:val="副标题 Char"/>
    <w:basedOn w:val="15"/>
    <w:link w:val="11"/>
    <w:qFormat/>
    <w:uiPriority w:val="0"/>
    <w:rPr>
      <w:rFonts w:ascii="Cambria" w:hAnsi="Cambria"/>
      <w:b/>
      <w:bCs/>
      <w:kern w:val="28"/>
      <w:sz w:val="32"/>
      <w:szCs w:val="32"/>
    </w:rPr>
  </w:style>
  <w:style w:type="character" w:customStyle="1" w:styleId="40">
    <w:name w:val="s41"/>
    <w:basedOn w:val="15"/>
    <w:qFormat/>
    <w:uiPriority w:val="0"/>
    <w:rPr>
      <w:color w:val="000000"/>
    </w:rPr>
  </w:style>
  <w:style w:type="paragraph" w:customStyle="1" w:styleId="41">
    <w:name w:val="条款正文"/>
    <w:basedOn w:val="1"/>
    <w:link w:val="42"/>
    <w:qFormat/>
    <w:uiPriority w:val="0"/>
    <w:pPr>
      <w:widowControl w:val="0"/>
      <w:adjustRightInd w:val="0"/>
      <w:snapToGrid w:val="0"/>
      <w:ind w:left="840" w:leftChars="400" w:firstLine="420" w:firstLineChars="200"/>
      <w:jc w:val="both"/>
    </w:pPr>
    <w:rPr>
      <w:rFonts w:ascii="Times New Roman" w:hAnsi="Calibri" w:eastAsia="宋体"/>
      <w:kern w:val="2"/>
      <w:sz w:val="21"/>
    </w:rPr>
  </w:style>
  <w:style w:type="character" w:customStyle="1" w:styleId="42">
    <w:name w:val="条款正文 Char"/>
    <w:link w:val="41"/>
    <w:qFormat/>
    <w:uiPriority w:val="0"/>
    <w:rPr>
      <w:rFonts w:hAnsi="Calibri"/>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139DD8-8B20-4766-A54A-CF59CCE86319}">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1170</Words>
  <Characters>6675</Characters>
  <Lines>55</Lines>
  <Paragraphs>15</Paragraphs>
  <TotalTime>174</TotalTime>
  <ScaleCrop>false</ScaleCrop>
  <LinksUpToDate>false</LinksUpToDate>
  <CharactersWithSpaces>7830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2020-02-06T11:30:00Z</dcterms:created>
  <dc:creator>Administrator</dc:creator>
  <cp:lastModifiedBy>乔。</cp:lastModifiedBy>
  <dcterms:modified xsi:type="dcterms:W3CDTF">2020-05-28T07:45:34Z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