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rPr>
          <w:rFonts w:hint="eastAsia" w:ascii="黑体" w:hAnsi="黑体" w:eastAsia="黑体"/>
          <w:bCs/>
          <w:sz w:val="32"/>
          <w:szCs w:val="32"/>
        </w:rPr>
      </w:pPr>
      <w:r>
        <w:rPr>
          <w:rFonts w:hint="eastAsia" w:ascii="黑体" w:hAnsi="黑体" w:eastAsia="黑体"/>
          <w:bCs/>
          <w:sz w:val="32"/>
          <w:szCs w:val="32"/>
        </w:rPr>
        <w:t>附件</w:t>
      </w:r>
      <w:r>
        <w:rPr>
          <w:rFonts w:hint="eastAsia" w:ascii="黑体" w:hAnsi="黑体" w:eastAsia="黑体"/>
          <w:bCs/>
          <w:sz w:val="32"/>
          <w:szCs w:val="32"/>
          <w:lang w:val="en-US" w:eastAsia="zh-CN"/>
        </w:rPr>
        <w:t>2</w:t>
      </w:r>
      <w:r>
        <w:rPr>
          <w:rFonts w:hint="eastAsia" w:ascii="黑体" w:hAnsi="黑体" w:eastAsia="黑体"/>
          <w:bCs/>
          <w:sz w:val="32"/>
          <w:szCs w:val="32"/>
        </w:rPr>
        <w:t>：</w:t>
      </w:r>
    </w:p>
    <w:p>
      <w:pPr>
        <w:adjustRightInd w:val="0"/>
        <w:snapToGrid w:val="0"/>
        <w:spacing w:before="156" w:beforeLines="50" w:after="156" w:afterLines="50"/>
        <w:jc w:val="center"/>
        <w:rPr>
          <w:rFonts w:hint="eastAsia" w:ascii="宋体" w:hAnsi="宋体"/>
          <w:b/>
          <w:bCs/>
          <w:sz w:val="28"/>
          <w:szCs w:val="28"/>
        </w:rPr>
      </w:pPr>
      <w:r>
        <w:rPr>
          <w:rFonts w:hint="eastAsia" w:ascii="宋体" w:hAnsi="宋体"/>
          <w:b/>
          <w:bCs/>
          <w:sz w:val="28"/>
          <w:szCs w:val="28"/>
        </w:rPr>
        <w:t>中原农业保险股份有限公司</w:t>
      </w:r>
      <w:bookmarkStart w:id="0" w:name="_大地团体意外伤害保险条款"/>
      <w:bookmarkEnd w:id="0"/>
      <w:bookmarkStart w:id="1" w:name="_Toc181244840"/>
    </w:p>
    <w:p>
      <w:pPr>
        <w:adjustRightInd w:val="0"/>
        <w:snapToGrid w:val="0"/>
        <w:spacing w:before="156" w:beforeLines="50" w:after="156" w:afterLines="50"/>
        <w:jc w:val="center"/>
        <w:rPr>
          <w:rFonts w:hint="eastAsia" w:ascii="宋体" w:hAnsi="宋体"/>
          <w:b/>
          <w:bCs/>
          <w:szCs w:val="21"/>
        </w:rPr>
      </w:pPr>
      <w:r>
        <w:rPr>
          <w:rFonts w:hint="eastAsia" w:ascii="宋体" w:hAnsi="宋体"/>
          <w:b/>
          <w:sz w:val="28"/>
          <w:szCs w:val="28"/>
          <w:lang w:val="en-US" w:eastAsia="zh-CN"/>
        </w:rPr>
        <w:t>家庭成员</w:t>
      </w:r>
      <w:r>
        <w:rPr>
          <w:rFonts w:hint="eastAsia" w:ascii="宋体" w:hAnsi="宋体"/>
          <w:b/>
          <w:sz w:val="28"/>
          <w:szCs w:val="28"/>
        </w:rPr>
        <w:t>意外伤害保险（互联网专属）条款</w:t>
      </w:r>
      <w:bookmarkEnd w:id="1"/>
    </w:p>
    <w:p>
      <w:pPr>
        <w:adjustRightInd w:val="0"/>
        <w:snapToGrid w:val="0"/>
        <w:spacing w:after="156" w:afterLines="50"/>
        <w:jc w:val="center"/>
        <w:rPr>
          <w:rFonts w:hint="eastAsia" w:ascii="宋体" w:hAnsi="宋体"/>
          <w:b/>
          <w:bCs/>
          <w:szCs w:val="21"/>
        </w:rPr>
      </w:pPr>
      <w:r>
        <w:rPr>
          <w:rFonts w:hint="eastAsia" w:ascii="宋体" w:hAnsi="宋体"/>
          <w:b/>
          <w:bCs/>
          <w:szCs w:val="21"/>
        </w:rPr>
        <w:t>总则</w:t>
      </w:r>
    </w:p>
    <w:p>
      <w:pPr>
        <w:adjustRightInd w:val="0"/>
        <w:snapToGrid w:val="0"/>
        <w:spacing w:after="156" w:afterLines="50"/>
        <w:ind w:firstLine="422" w:firstLineChars="200"/>
        <w:rPr>
          <w:rFonts w:ascii="宋体" w:hAnsi="宋体"/>
          <w:b/>
          <w:szCs w:val="21"/>
        </w:rPr>
      </w:pPr>
      <w:r>
        <w:rPr>
          <w:rFonts w:hint="eastAsia" w:ascii="宋体" w:hAnsi="宋体"/>
          <w:b/>
          <w:szCs w:val="21"/>
        </w:rPr>
        <w:t xml:space="preserve">第一条  </w:t>
      </w:r>
      <w:r>
        <w:rPr>
          <w:rFonts w:hint="eastAsia" w:ascii="宋体" w:hAnsi="宋体"/>
          <w:szCs w:val="21"/>
        </w:rPr>
        <w:t>本保险合同由保险条款、投保单、保险单、保险凭证以及批单等组成。</w:t>
      </w:r>
      <w:r>
        <w:rPr>
          <w:rFonts w:ascii="宋体" w:hAnsi="宋体"/>
          <w:szCs w:val="21"/>
        </w:rPr>
        <w:t>凡涉及本保险合同的约定，均应采用书面形式。</w:t>
      </w:r>
    </w:p>
    <w:p>
      <w:pPr>
        <w:adjustRightInd w:val="0"/>
        <w:snapToGrid w:val="0"/>
        <w:spacing w:after="156" w:afterLines="50"/>
        <w:ind w:firstLine="422" w:firstLineChars="200"/>
        <w:rPr>
          <w:rFonts w:hint="eastAsia" w:ascii="宋体" w:hAnsi="宋体"/>
          <w:spacing w:val="5"/>
          <w:szCs w:val="21"/>
        </w:rPr>
      </w:pPr>
      <w:r>
        <w:rPr>
          <w:rFonts w:hint="eastAsia" w:ascii="宋体" w:hAnsi="宋体"/>
          <w:b/>
          <w:szCs w:val="21"/>
        </w:rPr>
        <w:t xml:space="preserve">第二条  </w:t>
      </w:r>
      <w:r>
        <w:rPr>
          <w:rFonts w:hint="eastAsia" w:ascii="宋体" w:hAnsi="宋体"/>
          <w:spacing w:val="5"/>
          <w:szCs w:val="21"/>
        </w:rPr>
        <w:t>除另有约定外，投保人为自然人的，投保人本人及其配偶、子女、父母和投保人配偶的父母可作为本保险合同的被</w:t>
      </w:r>
      <w:bookmarkStart w:id="69" w:name="_GoBack"/>
      <w:bookmarkEnd w:id="69"/>
      <w:r>
        <w:rPr>
          <w:rFonts w:hint="eastAsia" w:ascii="宋体" w:hAnsi="宋体"/>
          <w:spacing w:val="5"/>
          <w:szCs w:val="21"/>
        </w:rPr>
        <w:t>保险人；投保人为团体的，投保团体中的成员及该成员的配偶、子女、父母和投保人配偶的父母可作为本保险合同的被保险人。</w:t>
      </w:r>
    </w:p>
    <w:p>
      <w:pPr>
        <w:adjustRightInd w:val="0"/>
        <w:snapToGrid w:val="0"/>
        <w:spacing w:after="156" w:afterLines="50"/>
        <w:ind w:firstLine="422" w:firstLineChars="200"/>
        <w:rPr>
          <w:rFonts w:hint="eastAsia"/>
        </w:rPr>
      </w:pPr>
      <w:r>
        <w:rPr>
          <w:rFonts w:hint="eastAsia"/>
          <w:b/>
          <w:bCs/>
        </w:rPr>
        <w:t>第</w:t>
      </w:r>
      <w:r>
        <w:rPr>
          <w:rFonts w:hint="eastAsia"/>
          <w:b/>
          <w:bCs/>
          <w:lang w:val="en-US" w:eastAsia="zh-CN"/>
        </w:rPr>
        <w:t>三</w:t>
      </w:r>
      <w:r>
        <w:rPr>
          <w:rFonts w:hint="eastAsia"/>
          <w:b/>
          <w:bCs/>
        </w:rPr>
        <w:t xml:space="preserve">条  </w:t>
      </w:r>
      <w:r>
        <w:rPr>
          <w:rFonts w:hint="eastAsia"/>
        </w:rPr>
        <w:t>本保险合同的受益人包括：</w:t>
      </w:r>
    </w:p>
    <w:p>
      <w:pPr>
        <w:adjustRightInd w:val="0"/>
        <w:snapToGrid w:val="0"/>
        <w:spacing w:after="156" w:afterLines="50"/>
        <w:ind w:firstLine="420" w:firstLineChars="200"/>
        <w:rPr>
          <w:rFonts w:hint="eastAsia"/>
        </w:rPr>
      </w:pPr>
      <w:r>
        <w:rPr>
          <w:rFonts w:hint="eastAsia" w:ascii="宋体" w:hAnsi="宋体"/>
          <w:szCs w:val="21"/>
        </w:rPr>
        <w:t>（一）身故保险金受益人</w:t>
      </w:r>
    </w:p>
    <w:p>
      <w:pPr>
        <w:pStyle w:val="7"/>
        <w:spacing w:after="156" w:afterLines="50"/>
        <w:ind w:left="0" w:leftChars="0"/>
        <w:rPr>
          <w:rStyle w:val="8"/>
          <w:rFonts w:hint="eastAsia" w:ascii="宋体" w:hAnsi="宋体"/>
          <w:szCs w:val="21"/>
        </w:rPr>
      </w:pPr>
      <w:r>
        <w:rPr>
          <w:rFonts w:hint="eastAsia" w:ascii="宋体" w:hAnsi="宋体"/>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r>
        <w:rPr>
          <w:rStyle w:val="8"/>
          <w:rFonts w:ascii="宋体" w:hAnsi="宋体"/>
          <w:szCs w:val="21"/>
        </w:rPr>
        <w:t>投保人指定受益人时须经被保险人同意</w:t>
      </w:r>
      <w:r>
        <w:rPr>
          <w:rStyle w:val="8"/>
          <w:rFonts w:hint="eastAsia" w:ascii="宋体" w:hAnsi="宋体"/>
          <w:szCs w:val="21"/>
        </w:rPr>
        <w:t>。</w:t>
      </w:r>
    </w:p>
    <w:p>
      <w:pPr>
        <w:pStyle w:val="7"/>
        <w:spacing w:after="156" w:afterLines="50"/>
        <w:ind w:left="0" w:leftChars="0"/>
        <w:rPr>
          <w:rFonts w:hint="eastAsia" w:ascii="宋体" w:hAnsi="宋体"/>
          <w:szCs w:val="21"/>
        </w:rPr>
      </w:pPr>
      <w:r>
        <w:rPr>
          <w:rFonts w:hint="eastAsia" w:ascii="宋体" w:hAnsi="宋体"/>
          <w:szCs w:val="21"/>
        </w:rPr>
        <w:t>被保险人身故后，有下列情形之一的，身故保险金作为被保险人的遗产，由保险人依照《中华人民共和国继承法》的规定履行给付保险金的义务：</w:t>
      </w:r>
    </w:p>
    <w:p>
      <w:pPr>
        <w:pStyle w:val="7"/>
        <w:spacing w:after="156" w:afterLines="50"/>
        <w:ind w:left="0" w:leftChars="0"/>
        <w:rPr>
          <w:rFonts w:hint="eastAsia" w:ascii="宋体" w:hAnsi="宋体"/>
          <w:szCs w:val="21"/>
        </w:rPr>
      </w:pPr>
      <w:r>
        <w:rPr>
          <w:rFonts w:hint="eastAsia" w:ascii="宋体" w:hAnsi="宋体"/>
          <w:szCs w:val="21"/>
        </w:rPr>
        <w:t>1.没有指定受益人，或者受益人指定不明无法确定的；</w:t>
      </w:r>
    </w:p>
    <w:p>
      <w:pPr>
        <w:pStyle w:val="7"/>
        <w:spacing w:after="156" w:afterLines="50"/>
        <w:ind w:left="0" w:leftChars="0"/>
        <w:rPr>
          <w:rFonts w:hint="eastAsia" w:ascii="宋体" w:hAnsi="宋体"/>
          <w:szCs w:val="21"/>
        </w:rPr>
      </w:pPr>
      <w:r>
        <w:rPr>
          <w:rFonts w:hint="eastAsia" w:ascii="宋体" w:hAnsi="宋体"/>
          <w:szCs w:val="21"/>
        </w:rPr>
        <w:t>2.受益人先于被保险人身故，没有其他受益人的；</w:t>
      </w:r>
    </w:p>
    <w:p>
      <w:pPr>
        <w:pStyle w:val="7"/>
        <w:spacing w:after="156" w:afterLines="50"/>
        <w:ind w:left="0" w:leftChars="0"/>
        <w:rPr>
          <w:rFonts w:hint="eastAsia" w:ascii="宋体" w:hAnsi="宋体"/>
          <w:szCs w:val="21"/>
        </w:rPr>
      </w:pPr>
      <w:r>
        <w:rPr>
          <w:rFonts w:hint="eastAsia" w:ascii="宋体" w:hAnsi="宋体"/>
          <w:szCs w:val="21"/>
        </w:rPr>
        <w:t>3.受益人依法丧失受益权或者放弃受益权，没有其他受益人的。</w:t>
      </w:r>
    </w:p>
    <w:p>
      <w:pPr>
        <w:pStyle w:val="7"/>
        <w:spacing w:after="156" w:afterLines="50"/>
        <w:ind w:left="0" w:leftChars="0"/>
        <w:rPr>
          <w:rFonts w:hint="eastAsia" w:ascii="宋体" w:hAnsi="宋体"/>
          <w:szCs w:val="21"/>
        </w:rPr>
      </w:pPr>
      <w:r>
        <w:rPr>
          <w:rFonts w:hint="eastAsia" w:ascii="宋体" w:hAnsi="宋体"/>
          <w:szCs w:val="21"/>
        </w:rPr>
        <w:t>受益人与被保险人在同一事件中身故，且不能确定身故先后顺序的，推定受益人身故在先。</w:t>
      </w:r>
    </w:p>
    <w:p>
      <w:pPr>
        <w:pStyle w:val="7"/>
        <w:spacing w:after="156" w:afterLines="50"/>
        <w:ind w:left="0" w:leftChars="0"/>
        <w:rPr>
          <w:rStyle w:val="8"/>
          <w:rFonts w:hint="eastAsia" w:ascii="宋体" w:hAnsi="宋体"/>
          <w:szCs w:val="21"/>
        </w:rPr>
      </w:pPr>
      <w:r>
        <w:rPr>
          <w:rStyle w:val="8"/>
          <w:rFonts w:hint="eastAsia" w:ascii="宋体" w:hAnsi="宋体"/>
          <w:szCs w:val="21"/>
        </w:rPr>
        <w:t>受益人故意造成被保险人身故、伤残的，或者故意杀害被保险人未遂的，该受益人丧失受益权。</w:t>
      </w:r>
    </w:p>
    <w:p>
      <w:pPr>
        <w:pStyle w:val="7"/>
        <w:spacing w:after="156" w:afterLines="50"/>
        <w:ind w:left="0" w:leftChars="0"/>
        <w:rPr>
          <w:rFonts w:hint="eastAsia"/>
          <w:bCs/>
        </w:rPr>
      </w:pPr>
      <w:r>
        <w:rPr>
          <w:rFonts w:hint="eastAsia"/>
          <w:bCs/>
        </w:rPr>
        <w:t>（二）</w:t>
      </w:r>
      <w:r>
        <w:rPr>
          <w:rFonts w:hint="eastAsia"/>
          <w:bCs/>
          <w:lang w:val="en-US" w:eastAsia="zh-CN"/>
        </w:rPr>
        <w:t>残疾</w:t>
      </w:r>
      <w:r>
        <w:rPr>
          <w:rFonts w:hint="eastAsia"/>
          <w:bCs/>
        </w:rPr>
        <w:t>保险金受益人</w:t>
      </w:r>
    </w:p>
    <w:p>
      <w:pPr>
        <w:adjustRightInd w:val="0"/>
        <w:snapToGrid w:val="0"/>
        <w:spacing w:after="156" w:afterLines="50"/>
        <w:ind w:firstLine="420" w:firstLineChars="200"/>
        <w:rPr>
          <w:rFonts w:hint="eastAsia" w:ascii="宋体" w:hAnsi="宋体"/>
          <w:szCs w:val="21"/>
        </w:rPr>
      </w:pPr>
      <w:r>
        <w:rPr>
          <w:rFonts w:hint="eastAsia" w:ascii="宋体" w:hAnsi="宋体"/>
          <w:szCs w:val="21"/>
        </w:rPr>
        <w:t>除另有约定外，本保险合同的</w:t>
      </w:r>
      <w:r>
        <w:rPr>
          <w:rFonts w:hint="eastAsia" w:ascii="宋体" w:hAnsi="宋体"/>
          <w:szCs w:val="21"/>
          <w:lang w:val="en-US" w:eastAsia="zh-CN"/>
        </w:rPr>
        <w:t>残疾</w:t>
      </w:r>
      <w:r>
        <w:rPr>
          <w:rFonts w:hint="eastAsia" w:ascii="宋体" w:hAnsi="宋体"/>
          <w:szCs w:val="21"/>
        </w:rPr>
        <w:t>保险金的受益人为被保险人本人。</w:t>
      </w:r>
    </w:p>
    <w:p>
      <w:pPr>
        <w:adjustRightInd w:val="0"/>
        <w:snapToGrid w:val="0"/>
        <w:spacing w:after="156" w:afterLines="50"/>
        <w:jc w:val="center"/>
        <w:rPr>
          <w:rFonts w:hint="eastAsia" w:ascii="宋体" w:hAnsi="宋体"/>
          <w:b/>
          <w:szCs w:val="21"/>
        </w:rPr>
      </w:pPr>
      <w:r>
        <w:rPr>
          <w:rFonts w:hint="eastAsia" w:ascii="宋体" w:hAnsi="宋体"/>
          <w:b/>
          <w:szCs w:val="21"/>
        </w:rPr>
        <w:t>保险责任</w:t>
      </w:r>
    </w:p>
    <w:p>
      <w:pPr>
        <w:numPr>
          <w:ilvl w:val="0"/>
          <w:numId w:val="0"/>
        </w:numPr>
        <w:adjustRightInd w:val="0"/>
        <w:snapToGrid w:val="0"/>
        <w:spacing w:after="156" w:afterLines="50"/>
        <w:ind w:firstLine="422" w:firstLineChars="200"/>
        <w:rPr>
          <w:rFonts w:hint="eastAsia"/>
        </w:rPr>
      </w:pPr>
      <w:r>
        <w:rPr>
          <w:rFonts w:hint="eastAsia"/>
          <w:b/>
          <w:bCs/>
          <w:lang w:val="en-US" w:eastAsia="zh-CN"/>
        </w:rPr>
        <w:t>第四条</w:t>
      </w:r>
      <w:r>
        <w:rPr>
          <w:rFonts w:hint="eastAsia"/>
          <w:lang w:val="en-US" w:eastAsia="zh-CN"/>
        </w:rPr>
        <w:t xml:space="preserve">  </w:t>
      </w:r>
      <w:r>
        <w:rPr>
          <w:rFonts w:hint="eastAsia"/>
        </w:rPr>
        <w:t>在保险期间内，被保险人遭受意外伤害，并因该意外伤害导致其身故、残疾的，保险人依照下列约定给付保险金。保险人对同一个家庭中所有被保险人一次或者累计给付的意外身故和意外残疾保险金达到保险单所载的意外伤害家庭保险金额时，本保险合同对该家庭所有被保险人的意外伤害保险责任终止。</w:t>
      </w:r>
    </w:p>
    <w:p>
      <w:pPr>
        <w:pStyle w:val="9"/>
        <w:spacing w:after="156" w:afterLines="50"/>
        <w:ind w:firstLine="422" w:firstLineChars="200"/>
        <w:rPr>
          <w:rFonts w:hint="eastAsia" w:ascii="宋体" w:hAnsi="宋体" w:eastAsia="宋体"/>
          <w:b/>
          <w:bCs/>
          <w:szCs w:val="21"/>
          <w:lang w:val="en-US" w:eastAsia="zh-CN"/>
        </w:rPr>
      </w:pPr>
      <w:r>
        <w:rPr>
          <w:rFonts w:hint="eastAsia" w:ascii="宋体" w:hAnsi="宋体"/>
          <w:b/>
          <w:bCs/>
          <w:szCs w:val="21"/>
        </w:rPr>
        <w:t>（一）意外身故保险</w:t>
      </w:r>
      <w:r>
        <w:rPr>
          <w:rFonts w:hint="eastAsia" w:ascii="宋体" w:hAnsi="宋体"/>
          <w:b/>
          <w:bCs/>
          <w:szCs w:val="21"/>
          <w:lang w:val="en-US" w:eastAsia="zh-CN"/>
        </w:rPr>
        <w:t>金</w:t>
      </w:r>
    </w:p>
    <w:p>
      <w:pPr>
        <w:pStyle w:val="7"/>
        <w:spacing w:after="156" w:afterLines="50"/>
        <w:ind w:left="0" w:leftChars="0"/>
        <w:rPr>
          <w:rFonts w:hint="eastAsia" w:ascii="宋体" w:hAnsi="宋体"/>
          <w:color w:val="auto"/>
          <w:szCs w:val="21"/>
        </w:rPr>
      </w:pPr>
      <w:r>
        <w:rPr>
          <w:rFonts w:hint="eastAsia" w:ascii="宋体" w:hAnsi="宋体"/>
          <w:szCs w:val="21"/>
        </w:rPr>
        <w:t>被保险人自意外伤害发生之日起180日内因该意外伤害身故的，保险人</w:t>
      </w:r>
      <w:r>
        <w:rPr>
          <w:rFonts w:hint="eastAsia" w:ascii="宋体" w:hAnsi="宋体"/>
          <w:szCs w:val="21"/>
          <w:lang w:val="en-US" w:eastAsia="zh-CN"/>
        </w:rPr>
        <w:t>按</w:t>
      </w:r>
      <w:r>
        <w:rPr>
          <w:rFonts w:hint="eastAsia" w:ascii="宋体" w:hAnsi="宋体"/>
          <w:szCs w:val="21"/>
          <w:shd w:val="clear" w:color="auto" w:fill="auto"/>
          <w:lang w:val="en-US" w:eastAsia="zh-CN"/>
        </w:rPr>
        <w:t>第六条</w:t>
      </w:r>
      <w:r>
        <w:rPr>
          <w:rFonts w:hint="eastAsia" w:ascii="宋体" w:hAnsi="宋体"/>
          <w:szCs w:val="21"/>
        </w:rPr>
        <w:t>约定的该被保险人的保险金额给付意外身故保险金</w:t>
      </w:r>
      <w:r>
        <w:rPr>
          <w:rFonts w:hint="eastAsia" w:ascii="宋体" w:hAnsi="宋体"/>
          <w:color w:val="auto"/>
          <w:szCs w:val="21"/>
        </w:rPr>
        <w:t>，对该被保险人的保险责任终止。</w:t>
      </w:r>
    </w:p>
    <w:p>
      <w:pPr>
        <w:pStyle w:val="7"/>
        <w:spacing w:after="156" w:afterLines="50"/>
        <w:ind w:left="0" w:leftChars="0"/>
        <w:rPr>
          <w:rFonts w:hint="eastAsia" w:ascii="宋体" w:hAnsi="宋体"/>
          <w:b/>
          <w:bCs/>
          <w:szCs w:val="21"/>
        </w:rPr>
      </w:pPr>
      <w:r>
        <w:rPr>
          <w:rFonts w:hint="eastAsia" w:ascii="宋体" w:hAnsi="宋体"/>
          <w:szCs w:val="21"/>
        </w:rPr>
        <w:t>被保险人因遭受该意外伤害且自该意外伤害发生之日起下落不明，后经人民法院宣告死亡的，保险人按</w:t>
      </w:r>
      <w:r>
        <w:rPr>
          <w:rFonts w:hint="eastAsia" w:ascii="宋体" w:hAnsi="宋体"/>
          <w:szCs w:val="21"/>
          <w:lang w:val="en-US" w:eastAsia="zh-CN"/>
        </w:rPr>
        <w:t>第六条约定</w:t>
      </w:r>
      <w:r>
        <w:rPr>
          <w:rFonts w:hint="eastAsia" w:ascii="宋体" w:hAnsi="宋体"/>
          <w:szCs w:val="21"/>
        </w:rPr>
        <w:t>的该被保险人的保险金额给付意外身故保险金。</w:t>
      </w:r>
      <w:r>
        <w:rPr>
          <w:rFonts w:hint="eastAsia" w:ascii="宋体" w:hAnsi="宋体"/>
          <w:b/>
          <w:bCs/>
          <w:szCs w:val="21"/>
        </w:rPr>
        <w:t>但若该被保险人被宣告死亡后生还的，保险金受领人应于知道或应当知道该被保险人生还后30日内退还保险人给付的意外身故保险金。</w:t>
      </w:r>
    </w:p>
    <w:p>
      <w:pPr>
        <w:pStyle w:val="7"/>
        <w:spacing w:after="156" w:afterLines="50"/>
        <w:ind w:left="0" w:leftChars="0"/>
        <w:rPr>
          <w:rFonts w:hint="eastAsia" w:ascii="宋体" w:hAnsi="宋体"/>
          <w:b/>
          <w:bCs/>
          <w:szCs w:val="21"/>
        </w:rPr>
      </w:pPr>
      <w:r>
        <w:rPr>
          <w:rFonts w:hint="eastAsia" w:ascii="宋体" w:hAnsi="宋体"/>
          <w:b/>
          <w:bCs/>
          <w:szCs w:val="21"/>
        </w:rPr>
        <w:t>该被保险人意外身故前保险人已向其给付意外残疾保险金的，意外身故保险金应扣除已给付的保险金。</w:t>
      </w:r>
    </w:p>
    <w:p>
      <w:pPr>
        <w:pStyle w:val="7"/>
        <w:spacing w:after="156" w:afterLines="50"/>
        <w:ind w:left="0" w:leftChars="0"/>
        <w:rPr>
          <w:rFonts w:hint="eastAsia" w:ascii="宋体" w:hAnsi="宋体" w:eastAsia="宋体"/>
          <w:b/>
          <w:bCs/>
          <w:szCs w:val="21"/>
          <w:lang w:eastAsia="zh-CN"/>
        </w:rPr>
      </w:pPr>
      <w:r>
        <w:rPr>
          <w:rFonts w:hint="eastAsia"/>
          <w:b/>
          <w:bCs/>
        </w:rPr>
        <w:t>（二）意外</w:t>
      </w:r>
      <w:r>
        <w:rPr>
          <w:rFonts w:hint="eastAsia"/>
          <w:b/>
          <w:bCs/>
          <w:lang w:val="en-US" w:eastAsia="zh-CN"/>
        </w:rPr>
        <w:t>残疾</w:t>
      </w:r>
      <w:r>
        <w:rPr>
          <w:rFonts w:hint="eastAsia"/>
          <w:b/>
          <w:bCs/>
        </w:rPr>
        <w:t>保险</w:t>
      </w:r>
      <w:r>
        <w:rPr>
          <w:rFonts w:hint="eastAsia"/>
          <w:b/>
          <w:bCs/>
          <w:lang w:val="en-US" w:eastAsia="zh-CN"/>
        </w:rPr>
        <w:t>金</w:t>
      </w:r>
    </w:p>
    <w:p>
      <w:pPr>
        <w:pStyle w:val="7"/>
        <w:spacing w:after="156" w:afterLines="50"/>
        <w:ind w:left="0" w:leftChars="0"/>
        <w:rPr>
          <w:rFonts w:hint="eastAsia" w:ascii="宋体" w:hAnsi="宋体"/>
          <w:szCs w:val="21"/>
        </w:rPr>
      </w:pPr>
      <w:r>
        <w:rPr>
          <w:rFonts w:hint="eastAsia" w:ascii="宋体" w:hAnsi="宋体"/>
          <w:szCs w:val="21"/>
        </w:rPr>
        <w:t>被保险人自该意外伤害发生之日起180日内因该意外伤害造成《人身保险伤残评定标准及代码》</w:t>
      </w:r>
      <w:r>
        <w:rPr>
          <w:rFonts w:hint="eastAsia" w:ascii="宋体" w:hAnsi="宋体"/>
          <w:color w:val="auto"/>
          <w:szCs w:val="21"/>
          <w:lang w:eastAsia="zh-CN"/>
        </w:rPr>
        <w:t>（</w:t>
      </w:r>
      <w:r>
        <w:rPr>
          <w:rFonts w:hint="eastAsia" w:ascii="宋体" w:hAnsi="宋体"/>
          <w:color w:val="auto"/>
          <w:szCs w:val="21"/>
        </w:rPr>
        <w:t>由中国保险监督管理委员会发布，保监发﹝2014﹞6号</w:t>
      </w:r>
      <w:r>
        <w:rPr>
          <w:rFonts w:hint="eastAsia" w:ascii="宋体" w:hAnsi="宋体"/>
          <w:color w:val="auto"/>
          <w:szCs w:val="21"/>
          <w:lang w:eastAsia="zh-CN"/>
        </w:rPr>
        <w:t>，</w:t>
      </w:r>
      <w:r>
        <w:rPr>
          <w:rFonts w:hint="eastAsia" w:ascii="宋体" w:hAnsi="宋体"/>
          <w:color w:val="auto"/>
          <w:szCs w:val="21"/>
        </w:rPr>
        <w:t>标准编号JR/T0083-2013)（简称《评定标准及代码》）</w:t>
      </w:r>
      <w:r>
        <w:rPr>
          <w:rFonts w:hint="eastAsia" w:ascii="宋体" w:hAnsi="宋体"/>
          <w:szCs w:val="21"/>
        </w:rPr>
        <w:t>所列伤残程度之一的，保险人按《评定标准及代码》所对应伤残等级的给付比例乘</w:t>
      </w:r>
      <w:r>
        <w:rPr>
          <w:rFonts w:hint="eastAsia" w:ascii="宋体" w:hAnsi="宋体"/>
          <w:color w:val="auto"/>
          <w:szCs w:val="21"/>
        </w:rPr>
        <w:t>以</w:t>
      </w:r>
      <w:r>
        <w:rPr>
          <w:rFonts w:hint="eastAsia" w:ascii="宋体" w:hAnsi="宋体"/>
          <w:color w:val="auto"/>
          <w:szCs w:val="21"/>
          <w:lang w:val="en-US" w:eastAsia="zh-CN"/>
        </w:rPr>
        <w:t>第六条约定</w:t>
      </w:r>
      <w:r>
        <w:rPr>
          <w:rFonts w:hint="eastAsia" w:ascii="宋体" w:hAnsi="宋体"/>
          <w:szCs w:val="21"/>
        </w:rPr>
        <w:t>的该被保险人的保险金额给付意外残疾保险金。如第180日治疗仍未结束的，按当日的身体情况进行伤残评定，并据此给付意外残疾保险金。</w:t>
      </w:r>
    </w:p>
    <w:p>
      <w:pPr>
        <w:pStyle w:val="7"/>
        <w:spacing w:after="156" w:afterLines="50"/>
        <w:ind w:left="0" w:leftChars="0"/>
        <w:rPr>
          <w:rFonts w:hint="eastAsia" w:ascii="宋体" w:hAnsi="宋体"/>
          <w:szCs w:val="21"/>
        </w:rPr>
      </w:pPr>
      <w:r>
        <w:rPr>
          <w:rFonts w:hint="eastAsia" w:ascii="宋体" w:hAnsi="宋体"/>
          <w:szCs w:val="21"/>
        </w:rPr>
        <w:t>（1）</w:t>
      </w:r>
      <w:r>
        <w:rPr>
          <w:rFonts w:hint="eastAsia" w:ascii="宋体" w:hAnsi="宋体"/>
          <w:b/>
          <w:bCs/>
          <w:szCs w:val="21"/>
        </w:rPr>
        <w:t>被保险人因同一意外伤害造成两处或两处以上伤残时，保险人根据《评定标准及代码》规定的多处伤残评定原则给付意外残疾保险金。</w:t>
      </w:r>
    </w:p>
    <w:p>
      <w:pPr>
        <w:pStyle w:val="7"/>
        <w:spacing w:after="156" w:afterLines="50"/>
        <w:ind w:left="0" w:leftChars="0"/>
        <w:rPr>
          <w:rFonts w:hint="eastAsia" w:ascii="宋体" w:hAnsi="宋体"/>
          <w:szCs w:val="21"/>
        </w:rPr>
      </w:pPr>
      <w:r>
        <w:rPr>
          <w:rFonts w:hint="eastAsia" w:ascii="宋体" w:hAnsi="宋体"/>
          <w:szCs w:val="21"/>
        </w:rPr>
        <w:t>（2）被保险人如在该意外伤害之前已有残疾，保险人按合并后的残疾程度在《评定标准及代码》中所对应伤残等级的给付比例扣除原有残疾程度在《评定标准及代码》中所对应伤残等级的给付比例，给付意外残疾保险金。</w:t>
      </w:r>
    </w:p>
    <w:p>
      <w:pPr>
        <w:adjustRightInd w:val="0"/>
        <w:snapToGrid w:val="0"/>
        <w:spacing w:after="156" w:afterLines="50"/>
        <w:jc w:val="center"/>
        <w:rPr>
          <w:rFonts w:hint="eastAsia" w:ascii="宋体" w:hAnsi="宋体"/>
          <w:b/>
          <w:szCs w:val="21"/>
        </w:rPr>
      </w:pPr>
      <w:r>
        <w:rPr>
          <w:rFonts w:hint="eastAsia" w:ascii="宋体" w:hAnsi="宋体"/>
          <w:b/>
          <w:szCs w:val="21"/>
        </w:rPr>
        <w:t>责任免除</w:t>
      </w:r>
    </w:p>
    <w:p>
      <w:pPr>
        <w:adjustRightInd w:val="0"/>
        <w:snapToGrid w:val="0"/>
        <w:spacing w:after="156" w:afterLines="50"/>
        <w:ind w:firstLine="422" w:firstLineChars="200"/>
        <w:rPr>
          <w:rFonts w:hint="eastAsia" w:ascii="宋体" w:hAnsi="宋体"/>
          <w:b/>
          <w:szCs w:val="21"/>
        </w:rPr>
      </w:pPr>
      <w:r>
        <w:rPr>
          <w:rFonts w:hint="eastAsia" w:ascii="宋体" w:hAnsi="宋体"/>
          <w:b/>
          <w:szCs w:val="21"/>
        </w:rPr>
        <w:t>第</w:t>
      </w:r>
      <w:r>
        <w:rPr>
          <w:rFonts w:hint="eastAsia" w:ascii="宋体" w:hAnsi="宋体"/>
          <w:b/>
          <w:szCs w:val="21"/>
          <w:lang w:val="en-US" w:eastAsia="zh-CN"/>
        </w:rPr>
        <w:t>五</w:t>
      </w:r>
      <w:r>
        <w:rPr>
          <w:rFonts w:hint="eastAsia" w:ascii="宋体" w:hAnsi="宋体"/>
          <w:b/>
          <w:szCs w:val="21"/>
        </w:rPr>
        <w:t>条  因下列情形之一，导致被保险人身故或残疾的，保险人不承担给付保险金责任：</w:t>
      </w:r>
    </w:p>
    <w:p>
      <w:pPr>
        <w:pStyle w:val="7"/>
        <w:spacing w:after="156" w:afterLines="50"/>
        <w:ind w:left="0" w:leftChars="0" w:firstLine="422"/>
        <w:rPr>
          <w:rFonts w:hint="eastAsia" w:ascii="宋体" w:hAnsi="宋体"/>
          <w:b/>
          <w:szCs w:val="21"/>
        </w:rPr>
      </w:pPr>
      <w:r>
        <w:rPr>
          <w:rFonts w:hint="eastAsia" w:ascii="宋体" w:hAnsi="宋体"/>
          <w:b/>
          <w:szCs w:val="21"/>
        </w:rPr>
        <w:t>（1）投保人、受益人的故意行为；</w:t>
      </w:r>
    </w:p>
    <w:p>
      <w:pPr>
        <w:pStyle w:val="7"/>
        <w:spacing w:after="156" w:afterLines="50"/>
        <w:ind w:left="0" w:leftChars="0" w:firstLine="422"/>
        <w:rPr>
          <w:rFonts w:hint="eastAsia" w:ascii="宋体" w:hAnsi="宋体"/>
          <w:b/>
          <w:szCs w:val="21"/>
        </w:rPr>
      </w:pPr>
      <w:r>
        <w:rPr>
          <w:rFonts w:hint="eastAsia" w:ascii="宋体" w:hAnsi="宋体"/>
          <w:b/>
          <w:szCs w:val="21"/>
        </w:rPr>
        <w:t>（2）被保险人故意自伤或自杀，但被保险人自杀时为无民事行为能力人的除外；</w:t>
      </w:r>
    </w:p>
    <w:p>
      <w:pPr>
        <w:pStyle w:val="7"/>
        <w:spacing w:after="156" w:afterLines="50"/>
        <w:ind w:left="0" w:leftChars="0" w:firstLine="422"/>
        <w:rPr>
          <w:rFonts w:hint="eastAsia" w:ascii="宋体" w:hAnsi="宋体"/>
          <w:b/>
          <w:szCs w:val="21"/>
        </w:rPr>
      </w:pPr>
      <w:r>
        <w:rPr>
          <w:rFonts w:hint="eastAsia" w:ascii="宋体" w:hAnsi="宋体"/>
          <w:b/>
          <w:szCs w:val="21"/>
        </w:rPr>
        <w:t>（3）被保险人挑衅或故意行为而导致的打斗、被袭击或被谋杀；</w:t>
      </w:r>
    </w:p>
    <w:p>
      <w:pPr>
        <w:pStyle w:val="7"/>
        <w:spacing w:after="156" w:afterLines="50"/>
        <w:ind w:left="0" w:leftChars="0" w:firstLine="422"/>
        <w:rPr>
          <w:rFonts w:hint="eastAsia" w:ascii="宋体" w:hAnsi="宋体"/>
          <w:b/>
          <w:szCs w:val="21"/>
        </w:rPr>
      </w:pPr>
      <w:r>
        <w:rPr>
          <w:rFonts w:hint="eastAsia" w:ascii="宋体" w:hAnsi="宋体"/>
          <w:b/>
          <w:szCs w:val="21"/>
        </w:rPr>
        <w:t>（4）被保险人妊娠、流产、分娩、药物过敏；</w:t>
      </w:r>
    </w:p>
    <w:p>
      <w:pPr>
        <w:pStyle w:val="7"/>
        <w:spacing w:after="156" w:afterLines="50"/>
        <w:ind w:left="0" w:leftChars="0" w:firstLine="422"/>
        <w:rPr>
          <w:rFonts w:hint="eastAsia" w:ascii="宋体" w:hAnsi="宋体"/>
          <w:b/>
          <w:szCs w:val="21"/>
        </w:rPr>
      </w:pPr>
      <w:r>
        <w:rPr>
          <w:rFonts w:hint="eastAsia" w:ascii="宋体" w:hAnsi="宋体"/>
          <w:b/>
          <w:szCs w:val="21"/>
        </w:rPr>
        <w:t>（5）被保险人未遵医嘱服用、涂用、注射药物；</w:t>
      </w:r>
    </w:p>
    <w:p>
      <w:pPr>
        <w:pStyle w:val="7"/>
        <w:spacing w:after="156" w:afterLines="50"/>
        <w:ind w:left="0" w:leftChars="0" w:firstLine="422"/>
        <w:rPr>
          <w:rFonts w:hint="eastAsia" w:ascii="宋体" w:hAnsi="宋体"/>
          <w:b/>
          <w:szCs w:val="21"/>
        </w:rPr>
      </w:pPr>
      <w:r>
        <w:rPr>
          <w:rFonts w:hint="eastAsia" w:ascii="宋体" w:hAnsi="宋体"/>
          <w:b/>
          <w:szCs w:val="21"/>
        </w:rPr>
        <w:t>（6）被保险人受酒精、毒品、管制药物的影响；</w:t>
      </w:r>
    </w:p>
    <w:p>
      <w:pPr>
        <w:pStyle w:val="7"/>
        <w:spacing w:after="156" w:afterLines="50"/>
        <w:ind w:left="0" w:leftChars="0" w:firstLine="422"/>
        <w:rPr>
          <w:rFonts w:hint="eastAsia" w:ascii="宋体" w:hAnsi="宋体"/>
          <w:b/>
          <w:szCs w:val="21"/>
          <w:lang w:val="en-US" w:eastAsia="zh-CN"/>
        </w:rPr>
      </w:pPr>
      <w:r>
        <w:rPr>
          <w:rFonts w:hint="eastAsia" w:ascii="宋体" w:hAnsi="宋体"/>
          <w:b/>
          <w:szCs w:val="21"/>
          <w:lang w:eastAsia="zh-CN"/>
        </w:rPr>
        <w:t>（</w:t>
      </w:r>
      <w:r>
        <w:rPr>
          <w:rFonts w:hint="eastAsia" w:ascii="宋体" w:hAnsi="宋体"/>
          <w:b/>
          <w:szCs w:val="21"/>
          <w:lang w:val="en-US" w:eastAsia="zh-CN"/>
        </w:rPr>
        <w:t>7</w:t>
      </w:r>
      <w:r>
        <w:rPr>
          <w:rFonts w:hint="eastAsia" w:ascii="宋体" w:hAnsi="宋体"/>
          <w:b/>
          <w:szCs w:val="21"/>
          <w:lang w:eastAsia="zh-CN"/>
        </w:rPr>
        <w:t>）</w:t>
      </w:r>
      <w:r>
        <w:rPr>
          <w:rFonts w:hint="eastAsia" w:ascii="宋体" w:hAnsi="宋体"/>
          <w:b/>
          <w:szCs w:val="21"/>
          <w:lang w:val="en-US" w:eastAsia="zh-CN"/>
        </w:rPr>
        <w:t>被保险人疾病，包括但不限于高原反应、中暑、猝死；</w:t>
      </w:r>
    </w:p>
    <w:p>
      <w:pPr>
        <w:pStyle w:val="7"/>
        <w:spacing w:after="156" w:afterLines="50"/>
        <w:ind w:left="0" w:leftChars="0" w:firstLine="422"/>
        <w:rPr>
          <w:rFonts w:hint="eastAsia" w:ascii="宋体" w:hAnsi="宋体"/>
          <w:b/>
          <w:szCs w:val="21"/>
        </w:rPr>
      </w:pPr>
      <w:r>
        <w:rPr>
          <w:rFonts w:hint="eastAsia" w:ascii="宋体" w:hAnsi="宋体"/>
          <w:b/>
          <w:szCs w:val="21"/>
        </w:rPr>
        <w:t>（</w:t>
      </w:r>
      <w:r>
        <w:rPr>
          <w:rFonts w:hint="eastAsia" w:ascii="宋体" w:hAnsi="宋体"/>
          <w:b/>
          <w:szCs w:val="21"/>
          <w:lang w:val="en-US" w:eastAsia="zh-CN"/>
        </w:rPr>
        <w:t>8</w:t>
      </w:r>
      <w:r>
        <w:rPr>
          <w:rFonts w:hint="eastAsia" w:ascii="宋体" w:hAnsi="宋体"/>
          <w:b/>
          <w:szCs w:val="21"/>
        </w:rPr>
        <w:t>）任何生物、化学、原子能武器，原子能或核能装置所造成的爆炸、灼伤、污染或辐射；</w:t>
      </w:r>
    </w:p>
    <w:p>
      <w:pPr>
        <w:pStyle w:val="7"/>
        <w:spacing w:after="156" w:afterLines="50"/>
        <w:ind w:left="0" w:leftChars="0" w:firstLine="422"/>
        <w:rPr>
          <w:rFonts w:hint="eastAsia" w:ascii="宋体" w:hAnsi="宋体"/>
          <w:b/>
          <w:szCs w:val="21"/>
        </w:rPr>
      </w:pPr>
      <w:r>
        <w:rPr>
          <w:rFonts w:hint="eastAsia" w:ascii="宋体" w:hAnsi="宋体"/>
          <w:b/>
          <w:szCs w:val="21"/>
        </w:rPr>
        <w:t>（</w:t>
      </w:r>
      <w:r>
        <w:rPr>
          <w:rFonts w:hint="eastAsia" w:ascii="宋体" w:hAnsi="宋体"/>
          <w:b/>
          <w:szCs w:val="21"/>
          <w:lang w:val="en-US" w:eastAsia="zh-CN"/>
        </w:rPr>
        <w:t>9</w:t>
      </w:r>
      <w:r>
        <w:rPr>
          <w:rFonts w:hint="eastAsia" w:ascii="宋体" w:hAnsi="宋体"/>
          <w:b/>
          <w:szCs w:val="21"/>
        </w:rPr>
        <w:t>）恐怖袭击；</w:t>
      </w:r>
    </w:p>
    <w:p>
      <w:pPr>
        <w:pStyle w:val="7"/>
        <w:spacing w:after="156" w:afterLines="50"/>
        <w:ind w:left="0" w:leftChars="0" w:firstLine="422"/>
        <w:rPr>
          <w:rFonts w:hint="eastAsia" w:ascii="宋体" w:hAnsi="宋体"/>
          <w:b/>
          <w:szCs w:val="21"/>
        </w:rPr>
      </w:pPr>
      <w:r>
        <w:rPr>
          <w:rFonts w:hint="eastAsia" w:ascii="宋体" w:hAnsi="宋体"/>
          <w:b/>
          <w:szCs w:val="21"/>
        </w:rPr>
        <w:t>（</w:t>
      </w:r>
      <w:r>
        <w:rPr>
          <w:rFonts w:hint="eastAsia" w:ascii="宋体" w:hAnsi="宋体"/>
          <w:b/>
          <w:szCs w:val="21"/>
          <w:lang w:val="en-US" w:eastAsia="zh-CN"/>
        </w:rPr>
        <w:t>10</w:t>
      </w:r>
      <w:r>
        <w:rPr>
          <w:rFonts w:hint="eastAsia" w:ascii="宋体" w:hAnsi="宋体"/>
          <w:b/>
          <w:szCs w:val="21"/>
        </w:rPr>
        <w:t>）战争、军事行动、武装叛乱或暴乱；</w:t>
      </w:r>
    </w:p>
    <w:p>
      <w:pPr>
        <w:pStyle w:val="7"/>
        <w:spacing w:after="156" w:afterLines="50"/>
        <w:ind w:left="0" w:leftChars="0" w:firstLine="422"/>
        <w:rPr>
          <w:rFonts w:hint="eastAsia" w:ascii="宋体" w:hAnsi="宋体"/>
          <w:b/>
          <w:szCs w:val="21"/>
        </w:rPr>
      </w:pPr>
      <w:r>
        <w:rPr>
          <w:rFonts w:hint="eastAsia" w:ascii="宋体" w:hAnsi="宋体"/>
          <w:b/>
          <w:szCs w:val="21"/>
        </w:rPr>
        <w:t>（1</w:t>
      </w:r>
      <w:r>
        <w:rPr>
          <w:rFonts w:hint="eastAsia" w:ascii="宋体" w:hAnsi="宋体"/>
          <w:b/>
          <w:szCs w:val="21"/>
          <w:lang w:val="en-US" w:eastAsia="zh-CN"/>
        </w:rPr>
        <w:t>1</w:t>
      </w:r>
      <w:r>
        <w:rPr>
          <w:rFonts w:hint="eastAsia" w:ascii="宋体" w:hAnsi="宋体"/>
          <w:b/>
          <w:szCs w:val="21"/>
        </w:rPr>
        <w:t>）被保险人故意犯罪或抗拒依法采取的刑事强制措施；</w:t>
      </w:r>
    </w:p>
    <w:p>
      <w:pPr>
        <w:pStyle w:val="7"/>
        <w:spacing w:after="156" w:afterLines="50"/>
        <w:ind w:left="0" w:leftChars="0" w:firstLine="422"/>
        <w:rPr>
          <w:rFonts w:hint="eastAsia" w:ascii="宋体" w:hAnsi="宋体"/>
          <w:b/>
          <w:szCs w:val="21"/>
        </w:rPr>
      </w:pPr>
      <w:r>
        <w:rPr>
          <w:rFonts w:hint="eastAsia" w:ascii="宋体" w:hAnsi="宋体"/>
          <w:b/>
          <w:szCs w:val="21"/>
        </w:rPr>
        <w:t>（1</w:t>
      </w:r>
      <w:r>
        <w:rPr>
          <w:rFonts w:hint="eastAsia" w:ascii="宋体" w:hAnsi="宋体"/>
          <w:b/>
          <w:szCs w:val="21"/>
          <w:lang w:val="en-US" w:eastAsia="zh-CN"/>
        </w:rPr>
        <w:t>2</w:t>
      </w:r>
      <w:r>
        <w:rPr>
          <w:rFonts w:hint="eastAsia" w:ascii="宋体" w:hAnsi="宋体"/>
          <w:b/>
          <w:szCs w:val="21"/>
        </w:rPr>
        <w:t>）被保险人存在精神和行为障碍（以世界卫生组织颁布的《疾病和有关健康问题的国际统计分类（ICD-10）》为准）；</w:t>
      </w:r>
    </w:p>
    <w:p>
      <w:pPr>
        <w:pStyle w:val="7"/>
        <w:spacing w:after="156" w:afterLines="50"/>
        <w:ind w:left="0" w:leftChars="0" w:firstLine="422"/>
        <w:rPr>
          <w:rFonts w:hint="eastAsia" w:ascii="宋体" w:hAnsi="宋体"/>
          <w:b/>
          <w:szCs w:val="21"/>
        </w:rPr>
      </w:pPr>
      <w:r>
        <w:rPr>
          <w:rFonts w:hint="eastAsia" w:ascii="宋体" w:hAnsi="宋体"/>
          <w:b/>
          <w:szCs w:val="21"/>
        </w:rPr>
        <w:t>（1</w:t>
      </w:r>
      <w:r>
        <w:rPr>
          <w:rFonts w:hint="eastAsia" w:ascii="宋体" w:hAnsi="宋体"/>
          <w:b/>
          <w:szCs w:val="21"/>
          <w:lang w:val="en-US" w:eastAsia="zh-CN"/>
        </w:rPr>
        <w:t>3</w:t>
      </w:r>
      <w:r>
        <w:rPr>
          <w:rFonts w:hint="eastAsia" w:ascii="宋体" w:hAnsi="宋体"/>
          <w:b/>
          <w:szCs w:val="21"/>
        </w:rPr>
        <w:t>）被保险人酒后驾驶、无有效驾驶证驾驶或驾驶无有效行驶证的机动交通工具；</w:t>
      </w:r>
    </w:p>
    <w:p>
      <w:pPr>
        <w:pStyle w:val="7"/>
        <w:spacing w:after="156" w:afterLines="50"/>
        <w:ind w:left="0" w:leftChars="0" w:firstLine="422"/>
        <w:rPr>
          <w:rFonts w:hint="eastAsia" w:ascii="宋体" w:hAnsi="宋体"/>
          <w:b/>
          <w:szCs w:val="21"/>
        </w:rPr>
      </w:pPr>
      <w:r>
        <w:rPr>
          <w:rFonts w:hint="eastAsia" w:ascii="宋体" w:hAnsi="宋体"/>
          <w:b/>
          <w:szCs w:val="21"/>
        </w:rPr>
        <w:t>（1</w:t>
      </w:r>
      <w:r>
        <w:rPr>
          <w:rFonts w:hint="eastAsia" w:ascii="宋体" w:hAnsi="宋体"/>
          <w:b/>
          <w:szCs w:val="21"/>
          <w:lang w:val="en-US" w:eastAsia="zh-CN"/>
        </w:rPr>
        <w:t>4</w:t>
      </w:r>
      <w:r>
        <w:rPr>
          <w:rFonts w:hint="eastAsia" w:ascii="宋体" w:hAnsi="宋体"/>
          <w:b/>
          <w:szCs w:val="21"/>
        </w:rPr>
        <w:t>）被保险人从事高风险运动；</w:t>
      </w:r>
    </w:p>
    <w:p>
      <w:pPr>
        <w:pStyle w:val="7"/>
        <w:spacing w:after="156" w:afterLines="50"/>
        <w:ind w:left="0" w:leftChars="0" w:firstLine="422"/>
        <w:rPr>
          <w:rFonts w:hint="eastAsia" w:ascii="宋体" w:hAnsi="宋体"/>
          <w:b/>
          <w:szCs w:val="21"/>
        </w:rPr>
      </w:pPr>
      <w:r>
        <w:rPr>
          <w:rFonts w:hint="eastAsia" w:ascii="宋体" w:hAnsi="宋体"/>
          <w:b/>
          <w:szCs w:val="21"/>
        </w:rPr>
        <w:t>（1</w:t>
      </w:r>
      <w:r>
        <w:rPr>
          <w:rFonts w:hint="eastAsia" w:ascii="宋体" w:hAnsi="宋体"/>
          <w:b/>
          <w:szCs w:val="21"/>
          <w:lang w:val="en-US" w:eastAsia="zh-CN"/>
        </w:rPr>
        <w:t>5</w:t>
      </w:r>
      <w:r>
        <w:rPr>
          <w:rFonts w:hint="eastAsia" w:ascii="宋体" w:hAnsi="宋体"/>
          <w:b/>
          <w:szCs w:val="21"/>
        </w:rPr>
        <w:t>）被保险人置身于任何飞机或空中运输工具（以乘客身份搭乘民用或商业航班者除外）；</w:t>
      </w:r>
    </w:p>
    <w:p>
      <w:pPr>
        <w:pStyle w:val="7"/>
        <w:spacing w:after="156" w:afterLines="50"/>
        <w:ind w:left="0" w:leftChars="0" w:firstLine="422"/>
        <w:rPr>
          <w:rFonts w:hint="eastAsia" w:ascii="宋体" w:hAnsi="宋体"/>
          <w:b/>
          <w:szCs w:val="21"/>
        </w:rPr>
      </w:pPr>
      <w:r>
        <w:rPr>
          <w:rFonts w:hint="eastAsia" w:ascii="宋体" w:hAnsi="宋体"/>
          <w:b/>
          <w:szCs w:val="21"/>
        </w:rPr>
        <w:t>（1</w:t>
      </w:r>
      <w:r>
        <w:rPr>
          <w:rFonts w:hint="eastAsia" w:ascii="宋体" w:hAnsi="宋体"/>
          <w:b/>
          <w:szCs w:val="21"/>
          <w:lang w:val="en-US" w:eastAsia="zh-CN"/>
        </w:rPr>
        <w:t>6</w:t>
      </w:r>
      <w:r>
        <w:rPr>
          <w:rFonts w:hint="eastAsia" w:ascii="宋体" w:hAnsi="宋体"/>
          <w:b/>
          <w:szCs w:val="21"/>
        </w:rPr>
        <w:t>）对于本保险合同中载明的免赔额，保险人不承担给付保险金的责任。</w:t>
      </w:r>
    </w:p>
    <w:p>
      <w:pPr>
        <w:adjustRightInd w:val="0"/>
        <w:snapToGrid w:val="0"/>
        <w:spacing w:after="156" w:afterLines="50"/>
        <w:jc w:val="center"/>
        <w:rPr>
          <w:rFonts w:ascii="宋体" w:hAnsi="宋体"/>
          <w:b/>
          <w:szCs w:val="21"/>
        </w:rPr>
      </w:pPr>
      <w:r>
        <w:rPr>
          <w:rFonts w:hint="eastAsia" w:ascii="宋体" w:hAnsi="宋体"/>
          <w:b/>
          <w:szCs w:val="21"/>
        </w:rPr>
        <w:t>保险金额</w:t>
      </w:r>
    </w:p>
    <w:p>
      <w:pPr>
        <w:adjustRightInd w:val="0"/>
        <w:snapToGrid w:val="0"/>
        <w:spacing w:after="156" w:afterLines="50"/>
        <w:ind w:firstLine="422" w:firstLineChars="200"/>
        <w:rPr>
          <w:rFonts w:hint="eastAsia" w:ascii="宋体" w:hAnsi="宋体"/>
        </w:rPr>
      </w:pPr>
      <w:r>
        <w:rPr>
          <w:rFonts w:hint="eastAsia" w:ascii="宋体" w:hAnsi="宋体"/>
          <w:b/>
        </w:rPr>
        <w:t>第</w:t>
      </w:r>
      <w:r>
        <w:rPr>
          <w:rFonts w:hint="eastAsia" w:ascii="宋体" w:hAnsi="宋体"/>
          <w:b/>
          <w:lang w:val="en-US" w:eastAsia="zh-CN"/>
        </w:rPr>
        <w:t>六</w:t>
      </w:r>
      <w:r>
        <w:rPr>
          <w:rFonts w:hint="eastAsia" w:ascii="宋体" w:hAnsi="宋体"/>
          <w:b/>
        </w:rPr>
        <w:t xml:space="preserve">条 </w:t>
      </w:r>
      <w:r>
        <w:rPr>
          <w:rFonts w:hint="eastAsia" w:ascii="宋体" w:hAnsi="宋体"/>
        </w:rPr>
        <w:t xml:space="preserve"> 保险单中所载的意外伤害家庭保险金额是保险人对该家庭所有被保险人承担给付意外伤害保险金责任的最高限额。经投保人和保险人双方约定，可选择按照以下方式分配家庭保险金额，并在保险单中载明。</w:t>
      </w:r>
      <w:r>
        <w:rPr>
          <w:rFonts w:hint="eastAsia" w:ascii="宋体" w:hAnsi="宋体"/>
          <w:b/>
          <w:bCs/>
        </w:rPr>
        <w:t>如果家庭中包含未成年被保险人的，则该被保险人的身故保险金额按照保监会关于未成年人保险金额上限的最新规定执行。</w:t>
      </w:r>
    </w:p>
    <w:p>
      <w:pPr>
        <w:adjustRightInd w:val="0"/>
        <w:snapToGrid w:val="0"/>
        <w:spacing w:after="156" w:afterLines="50"/>
        <w:ind w:firstLine="420" w:firstLineChars="200"/>
        <w:rPr>
          <w:rFonts w:hint="eastAsia" w:ascii="宋体" w:hAnsi="宋体"/>
        </w:rPr>
      </w:pPr>
      <w:r>
        <w:rPr>
          <w:rFonts w:hint="eastAsia" w:ascii="宋体" w:hAnsi="宋体"/>
        </w:rPr>
        <w:t>（1）均分家庭保险金额</w:t>
      </w:r>
    </w:p>
    <w:p>
      <w:pPr>
        <w:adjustRightInd w:val="0"/>
        <w:snapToGrid w:val="0"/>
        <w:spacing w:after="156" w:afterLines="50"/>
        <w:ind w:firstLine="420" w:firstLineChars="200"/>
        <w:rPr>
          <w:rFonts w:hint="eastAsia" w:ascii="宋体" w:hAnsi="宋体"/>
        </w:rPr>
      </w:pPr>
      <w:r>
        <w:rPr>
          <w:rFonts w:hint="eastAsia" w:ascii="宋体" w:hAnsi="宋体"/>
        </w:rPr>
        <w:t>意外伤害保险责任的每人保险金额=意外伤害家庭保险金额÷该家庭中的被保险人总人数。被保险人总人数以投保时告知为准。保险人对每一被保险人在意外伤害保险责任项下一次或者累计给付的保险金之和以意外伤害保险责任的每人保险金额为限。如果家庭中包含未成年被保险人，按上述公式计算的每人意外伤害保险金额超过保监会规定的关于未成年人保险金额上限的，超过部分由成年被保险人均分。</w:t>
      </w:r>
    </w:p>
    <w:p>
      <w:pPr>
        <w:adjustRightInd w:val="0"/>
        <w:snapToGrid w:val="0"/>
        <w:spacing w:after="156" w:afterLines="50"/>
        <w:ind w:firstLine="420" w:firstLineChars="200"/>
        <w:rPr>
          <w:rFonts w:hint="eastAsia" w:ascii="宋体" w:hAnsi="宋体"/>
        </w:rPr>
      </w:pPr>
      <w:r>
        <w:rPr>
          <w:rFonts w:hint="eastAsia" w:ascii="宋体" w:hAnsi="宋体"/>
        </w:rPr>
        <w:t>（2）共享家庭保险金额</w:t>
      </w:r>
    </w:p>
    <w:p>
      <w:pPr>
        <w:adjustRightInd w:val="0"/>
        <w:snapToGrid w:val="0"/>
        <w:spacing w:after="156" w:afterLines="50"/>
        <w:ind w:firstLine="420" w:firstLineChars="200"/>
        <w:rPr>
          <w:rFonts w:hint="eastAsia" w:ascii="宋体" w:hAnsi="宋体"/>
        </w:rPr>
      </w:pPr>
      <w:r>
        <w:rPr>
          <w:rFonts w:hint="eastAsia" w:ascii="宋体" w:hAnsi="宋体"/>
        </w:rPr>
        <w:t>指家庭中所有被保险人共享意外伤害家庭保险金额。保险人对家庭所有被保险人在意外伤害保险责任项下一次或者累计给付的保险金之和不超过意外伤害家庭保险金额。</w:t>
      </w:r>
    </w:p>
    <w:p>
      <w:pPr>
        <w:adjustRightInd w:val="0"/>
        <w:snapToGrid w:val="0"/>
        <w:spacing w:after="156" w:afterLines="50"/>
        <w:ind w:firstLine="420" w:firstLineChars="200"/>
        <w:rPr>
          <w:rFonts w:hint="eastAsia" w:ascii="宋体" w:hAnsi="宋体"/>
        </w:rPr>
      </w:pPr>
      <w:r>
        <w:rPr>
          <w:rFonts w:hint="eastAsia" w:ascii="宋体" w:hAnsi="宋体"/>
        </w:rPr>
        <w:t>当多名被保险人发生保险事故的，保险人按照提交完整保险金申请资料并申请给付保险金的先后顺序依次计算并给付保险金，后续案件在剩余保险金额范围内计算并给付保险金。</w:t>
      </w:r>
    </w:p>
    <w:p>
      <w:pPr>
        <w:adjustRightInd w:val="0"/>
        <w:snapToGrid w:val="0"/>
        <w:spacing w:after="156" w:afterLines="50"/>
        <w:ind w:firstLine="420" w:firstLineChars="200"/>
        <w:rPr>
          <w:rFonts w:hint="eastAsia" w:ascii="宋体" w:hAnsi="宋体"/>
        </w:rPr>
      </w:pPr>
      <w:r>
        <w:rPr>
          <w:rFonts w:hint="eastAsia" w:ascii="宋体" w:hAnsi="宋体"/>
        </w:rPr>
        <w:t>当多名被保险人发生保险事故且同时提交完整保险金申请资料并申请给付保险金的，保险人按单独提交保险金申请资料的情况分别计算每人应给付金额。若多名被保险人的应给付金额之和大于家庭保险金额与既往已给付金额之差的，保险人按下述公式计算每人实际给付金额：（该被保险人应给付金额÷多名被保险人应给付金额之和）×（家庭保险金额-既往已给付金额）。</w:t>
      </w:r>
    </w:p>
    <w:p>
      <w:pPr>
        <w:adjustRightInd w:val="0"/>
        <w:snapToGrid w:val="0"/>
        <w:spacing w:after="156" w:afterLines="50"/>
        <w:ind w:firstLine="420" w:firstLineChars="200"/>
        <w:rPr>
          <w:rFonts w:hint="eastAsia" w:ascii="宋体" w:hAnsi="宋体"/>
        </w:rPr>
      </w:pPr>
      <w:r>
        <w:rPr>
          <w:rFonts w:hint="eastAsia" w:ascii="宋体" w:hAnsi="宋体"/>
        </w:rPr>
        <w:t>（3）独享家庭保险金额</w:t>
      </w:r>
    </w:p>
    <w:p>
      <w:pPr>
        <w:adjustRightInd w:val="0"/>
        <w:snapToGrid w:val="0"/>
        <w:spacing w:after="156" w:afterLines="50"/>
        <w:ind w:firstLine="420" w:firstLineChars="200"/>
        <w:rPr>
          <w:rFonts w:hint="eastAsia" w:ascii="宋体" w:hAnsi="宋体"/>
        </w:rPr>
      </w:pPr>
      <w:r>
        <w:rPr>
          <w:rFonts w:hint="eastAsia" w:ascii="宋体" w:hAnsi="宋体"/>
        </w:rPr>
        <w:t>指家庭中某一个被保险人独享意外伤害家庭保险金额，该被保险人以投保时告知为准，并在保险单中载明。保险人对该被保险人在意外伤害保险责任项下一次或者累计给付的保险金之和不超过意外伤害家庭保险金额，对该家庭的其他被保险人不承担该项保险责任。</w:t>
      </w:r>
    </w:p>
    <w:p>
      <w:pPr>
        <w:adjustRightInd w:val="0"/>
        <w:snapToGrid w:val="0"/>
        <w:spacing w:after="156" w:afterLines="50"/>
        <w:ind w:firstLine="420" w:firstLineChars="200"/>
        <w:rPr>
          <w:rFonts w:hint="eastAsia" w:ascii="宋体" w:hAnsi="宋体"/>
        </w:rPr>
      </w:pPr>
      <w:r>
        <w:rPr>
          <w:rFonts w:hint="eastAsia" w:ascii="宋体" w:hAnsi="宋体"/>
        </w:rPr>
        <w:t>（4）其他方式</w:t>
      </w:r>
    </w:p>
    <w:p>
      <w:pPr>
        <w:adjustRightInd w:val="0"/>
        <w:snapToGrid w:val="0"/>
        <w:spacing w:after="156" w:afterLines="50"/>
        <w:ind w:firstLine="420" w:firstLineChars="200"/>
        <w:rPr>
          <w:rFonts w:hint="eastAsia" w:ascii="宋体" w:hAnsi="宋体"/>
          <w:b/>
          <w:szCs w:val="21"/>
        </w:rPr>
      </w:pPr>
      <w:r>
        <w:rPr>
          <w:rFonts w:hint="eastAsia" w:ascii="宋体" w:hAnsi="宋体"/>
        </w:rPr>
        <w:t>除上述情形外，经投保人和保险人双方约定，可在投保时约定按照其他方式分配家庭保险金额，并在保险单中载明。</w:t>
      </w:r>
    </w:p>
    <w:p>
      <w:pPr>
        <w:adjustRightInd w:val="0"/>
        <w:snapToGrid w:val="0"/>
        <w:spacing w:after="156" w:afterLines="50"/>
        <w:jc w:val="center"/>
        <w:rPr>
          <w:rFonts w:hint="eastAsia" w:ascii="宋体" w:hAnsi="宋体"/>
          <w:b/>
          <w:szCs w:val="21"/>
        </w:rPr>
      </w:pPr>
      <w:r>
        <w:rPr>
          <w:rFonts w:hint="eastAsia" w:ascii="宋体" w:hAnsi="宋体"/>
          <w:b/>
          <w:szCs w:val="21"/>
        </w:rPr>
        <w:t>保险期间</w:t>
      </w:r>
    </w:p>
    <w:p>
      <w:pPr>
        <w:adjustRightInd w:val="0"/>
        <w:snapToGrid w:val="0"/>
        <w:spacing w:after="156" w:afterLines="50"/>
        <w:ind w:firstLine="422" w:firstLineChars="200"/>
        <w:rPr>
          <w:rFonts w:hint="eastAsia"/>
        </w:rPr>
      </w:pPr>
      <w:r>
        <w:rPr>
          <w:rFonts w:hint="eastAsia"/>
          <w:b/>
        </w:rPr>
        <w:t>第</w:t>
      </w:r>
      <w:r>
        <w:rPr>
          <w:rFonts w:hint="eastAsia"/>
          <w:b/>
          <w:lang w:val="en-US" w:eastAsia="zh-CN"/>
        </w:rPr>
        <w:t>七</w:t>
      </w:r>
      <w:r>
        <w:rPr>
          <w:rFonts w:hint="eastAsia"/>
          <w:b/>
        </w:rPr>
        <w:t xml:space="preserve">条  </w:t>
      </w:r>
      <w:r>
        <w:rPr>
          <w:rFonts w:hint="eastAsia"/>
        </w:rPr>
        <w:t>本保险合同保险期间由保险人和投保人协商确定，最长不超过一年，以保险单载明的起讫时间为准。</w:t>
      </w:r>
    </w:p>
    <w:p>
      <w:pPr>
        <w:pStyle w:val="7"/>
        <w:spacing w:after="156" w:afterLines="50"/>
        <w:ind w:left="0" w:leftChars="0" w:firstLine="0" w:firstLineChars="0"/>
        <w:jc w:val="center"/>
        <w:rPr>
          <w:rFonts w:hint="eastAsia" w:ascii="宋体" w:hAnsi="宋体"/>
          <w:szCs w:val="21"/>
        </w:rPr>
      </w:pPr>
      <w:r>
        <w:rPr>
          <w:rFonts w:hint="eastAsia" w:ascii="宋体" w:hAnsi="宋体"/>
          <w:b/>
          <w:szCs w:val="21"/>
        </w:rPr>
        <w:t>保险人义务</w:t>
      </w:r>
    </w:p>
    <w:p>
      <w:pPr>
        <w:pStyle w:val="7"/>
        <w:spacing w:after="156" w:afterLines="50"/>
        <w:ind w:left="0" w:leftChars="0" w:firstLine="422"/>
        <w:rPr>
          <w:rFonts w:hint="eastAsia" w:ascii="宋体" w:hAnsi="宋体"/>
          <w:bCs/>
          <w:szCs w:val="21"/>
          <w:lang w:eastAsia="zh-CN"/>
        </w:rPr>
      </w:pPr>
      <w:r>
        <w:rPr>
          <w:rFonts w:hint="eastAsia" w:ascii="宋体" w:hAnsi="宋体"/>
          <w:b/>
          <w:bCs/>
          <w:szCs w:val="21"/>
        </w:rPr>
        <w:t>第</w:t>
      </w:r>
      <w:r>
        <w:rPr>
          <w:rFonts w:hint="eastAsia" w:ascii="宋体" w:hAnsi="宋体"/>
          <w:b/>
          <w:bCs/>
          <w:szCs w:val="21"/>
          <w:lang w:val="en-US" w:eastAsia="zh-CN"/>
        </w:rPr>
        <w:t>八</w:t>
      </w:r>
      <w:r>
        <w:rPr>
          <w:rFonts w:hint="eastAsia" w:ascii="宋体" w:hAnsi="宋体"/>
          <w:b/>
          <w:bCs/>
          <w:szCs w:val="21"/>
        </w:rPr>
        <w:t>条</w:t>
      </w:r>
      <w:r>
        <w:rPr>
          <w:rFonts w:hint="eastAsia" w:ascii="宋体" w:hAnsi="宋体"/>
          <w:bCs/>
          <w:szCs w:val="21"/>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w:t>
      </w:r>
      <w:r>
        <w:rPr>
          <w:rFonts w:hint="eastAsia" w:ascii="宋体" w:hAnsi="宋体"/>
          <w:bCs/>
          <w:szCs w:val="21"/>
          <w:lang w:eastAsia="zh-CN"/>
        </w:rPr>
        <w:t>。</w:t>
      </w:r>
    </w:p>
    <w:p>
      <w:pPr>
        <w:pStyle w:val="7"/>
        <w:spacing w:after="156" w:afterLines="50"/>
        <w:ind w:left="0" w:leftChars="0" w:firstLine="422"/>
        <w:rPr>
          <w:rFonts w:ascii="宋体" w:hAnsi="宋体"/>
          <w:szCs w:val="21"/>
        </w:rPr>
      </w:pPr>
      <w:r>
        <w:rPr>
          <w:rFonts w:hint="eastAsia" w:ascii="宋体" w:hAnsi="宋体"/>
          <w:b/>
          <w:szCs w:val="21"/>
        </w:rPr>
        <w:t>第</w:t>
      </w:r>
      <w:r>
        <w:rPr>
          <w:rFonts w:hint="eastAsia" w:ascii="宋体" w:hAnsi="宋体"/>
          <w:b/>
          <w:szCs w:val="21"/>
          <w:lang w:val="en-US" w:eastAsia="zh-CN"/>
        </w:rPr>
        <w:t>九</w:t>
      </w:r>
      <w:r>
        <w:rPr>
          <w:rFonts w:hint="eastAsia" w:ascii="宋体" w:hAnsi="宋体"/>
          <w:b/>
          <w:szCs w:val="21"/>
        </w:rPr>
        <w:t xml:space="preserve">条  </w:t>
      </w:r>
      <w:r>
        <w:rPr>
          <w:rFonts w:hint="eastAsia" w:ascii="宋体" w:hAnsi="宋体"/>
          <w:szCs w:val="21"/>
        </w:rPr>
        <w:t>投保人提出保险要求，经保险人同意承保，保险合同成立。保险人应当及时向投保人签发保险单或者其他保险凭证。</w:t>
      </w:r>
    </w:p>
    <w:p>
      <w:pPr>
        <w:pStyle w:val="7"/>
        <w:spacing w:after="156" w:afterLines="50"/>
        <w:ind w:left="0" w:leftChars="0" w:firstLine="422"/>
        <w:rPr>
          <w:rFonts w:hint="eastAsia" w:ascii="宋体" w:hAnsi="宋体"/>
          <w:bCs/>
          <w:szCs w:val="21"/>
        </w:rPr>
      </w:pPr>
      <w:r>
        <w:rPr>
          <w:rFonts w:hint="eastAsia" w:ascii="宋体" w:hAnsi="宋体"/>
          <w:b/>
          <w:szCs w:val="21"/>
        </w:rPr>
        <w:t xml:space="preserve">第十条 </w:t>
      </w:r>
      <w:r>
        <w:rPr>
          <w:rFonts w:hint="eastAsia" w:ascii="宋体" w:hAnsi="宋体"/>
          <w:szCs w:val="21"/>
        </w:rPr>
        <w:t xml:space="preserve"> </w:t>
      </w:r>
      <w:r>
        <w:rPr>
          <w:rFonts w:hint="eastAsia" w:ascii="宋体" w:hAnsi="宋体"/>
          <w:bCs/>
          <w:szCs w:val="21"/>
        </w:rPr>
        <w:t>保险人认为保险金申请人提供的有关索赔的证明和材料不完整的，应当及时一次性通知保险金申请人补充提供。</w:t>
      </w:r>
    </w:p>
    <w:p>
      <w:pPr>
        <w:adjustRightInd w:val="0"/>
        <w:snapToGrid w:val="0"/>
        <w:spacing w:after="156" w:afterLines="50"/>
        <w:ind w:firstLine="422" w:firstLineChars="200"/>
        <w:rPr>
          <w:rFonts w:hint="eastAsia" w:ascii="宋体" w:hAnsi="宋体"/>
          <w:szCs w:val="21"/>
        </w:rPr>
      </w:pPr>
      <w:r>
        <w:rPr>
          <w:rFonts w:hint="eastAsia" w:ascii="宋体" w:hAnsi="宋体"/>
          <w:b/>
          <w:szCs w:val="21"/>
        </w:rPr>
        <w:t>第十</w:t>
      </w:r>
      <w:r>
        <w:rPr>
          <w:rFonts w:hint="eastAsia" w:ascii="宋体" w:hAnsi="宋体"/>
          <w:b/>
          <w:szCs w:val="21"/>
          <w:lang w:val="en-US" w:eastAsia="zh-CN"/>
        </w:rPr>
        <w:t>一</w:t>
      </w:r>
      <w:r>
        <w:rPr>
          <w:rFonts w:hint="eastAsia" w:ascii="宋体" w:hAnsi="宋体"/>
          <w:b/>
          <w:szCs w:val="21"/>
        </w:rPr>
        <w:t xml:space="preserve">条  </w:t>
      </w:r>
      <w:r>
        <w:rPr>
          <w:rFonts w:hint="eastAsia" w:ascii="宋体" w:hAnsi="宋体"/>
          <w:szCs w:val="21"/>
        </w:rPr>
        <w:t>保险人收到被保险人或者</w:t>
      </w:r>
      <w:r>
        <w:rPr>
          <w:rFonts w:ascii="宋体" w:hAnsi="宋体"/>
          <w:szCs w:val="21"/>
        </w:rPr>
        <w:t>受益人</w:t>
      </w:r>
      <w:r>
        <w:rPr>
          <w:rFonts w:hint="eastAsia" w:ascii="宋体" w:hAnsi="宋体"/>
          <w:szCs w:val="21"/>
        </w:rPr>
        <w:t>的给付保险金的请求后，应当及时作出是否属于保险责任的核定；情形复杂的，应当在三十日内作出核定，但保险合同另有约定的除外。</w:t>
      </w:r>
    </w:p>
    <w:p>
      <w:pPr>
        <w:adjustRightInd w:val="0"/>
        <w:snapToGrid w:val="0"/>
        <w:spacing w:after="156" w:afterLines="50"/>
        <w:ind w:firstLine="420" w:firstLineChars="200"/>
        <w:rPr>
          <w:rFonts w:hint="eastAsia" w:ascii="宋体" w:hAnsi="宋体"/>
          <w:szCs w:val="21"/>
        </w:rPr>
      </w:pPr>
      <w:r>
        <w:rPr>
          <w:rFonts w:hint="eastAsia" w:ascii="宋体" w:hAnsi="宋体"/>
          <w:szCs w:val="21"/>
        </w:rPr>
        <w:t>保险人应当将核定结果通知被保险人或者</w:t>
      </w:r>
      <w:r>
        <w:rPr>
          <w:rFonts w:ascii="宋体" w:hAnsi="宋体"/>
          <w:szCs w:val="21"/>
        </w:rPr>
        <w:t>受益人</w:t>
      </w:r>
      <w:r>
        <w:rPr>
          <w:rFonts w:hint="eastAsia" w:ascii="宋体" w:hAnsi="宋体"/>
          <w:szCs w:val="21"/>
        </w:rPr>
        <w:t>；对属于保险责任的，在与被保险人或者</w:t>
      </w:r>
      <w:r>
        <w:rPr>
          <w:rFonts w:ascii="宋体" w:hAnsi="宋体"/>
          <w:szCs w:val="21"/>
        </w:rPr>
        <w:t>受益人</w:t>
      </w:r>
      <w:r>
        <w:rPr>
          <w:rFonts w:hint="eastAsia" w:ascii="宋体" w:hAnsi="宋体"/>
          <w:szCs w:val="21"/>
        </w:rPr>
        <w:t>达成给付保险金的协议后十日内，履行赔偿保险金义务。保险合同对给付保险金的期限有约定的，保险人应当按照约定履行给付保险金的义务。保险人依照前款约定作出核定后，</w:t>
      </w:r>
      <w:r>
        <w:rPr>
          <w:rStyle w:val="8"/>
          <w:rFonts w:hint="eastAsia" w:ascii="宋体" w:hAnsi="宋体"/>
          <w:szCs w:val="21"/>
        </w:rPr>
        <w:t>对不属于保险责任的，应当自作出核定之日起三日内向被保险人或者</w:t>
      </w:r>
      <w:r>
        <w:rPr>
          <w:rStyle w:val="8"/>
          <w:rFonts w:ascii="宋体" w:hAnsi="宋体"/>
          <w:szCs w:val="21"/>
        </w:rPr>
        <w:t>受益人</w:t>
      </w:r>
      <w:r>
        <w:rPr>
          <w:rStyle w:val="8"/>
          <w:rFonts w:hint="eastAsia" w:ascii="宋体" w:hAnsi="宋体"/>
          <w:szCs w:val="21"/>
        </w:rPr>
        <w:t>发出拒绝给付保险金通知书，并说明理由</w:t>
      </w:r>
      <w:r>
        <w:rPr>
          <w:rFonts w:hint="eastAsia" w:ascii="宋体" w:hAnsi="宋体"/>
          <w:szCs w:val="21"/>
        </w:rPr>
        <w:t>。</w:t>
      </w:r>
    </w:p>
    <w:p>
      <w:pPr>
        <w:pStyle w:val="7"/>
        <w:spacing w:after="156" w:afterLines="50"/>
        <w:ind w:left="0" w:leftChars="0" w:firstLine="422"/>
        <w:rPr>
          <w:rFonts w:hint="eastAsia" w:ascii="宋体" w:hAnsi="宋体"/>
          <w:szCs w:val="21"/>
        </w:rPr>
      </w:pPr>
      <w:r>
        <w:rPr>
          <w:rFonts w:hint="eastAsia" w:ascii="宋体" w:hAnsi="宋体"/>
          <w:b/>
          <w:szCs w:val="21"/>
        </w:rPr>
        <w:t>第十</w:t>
      </w:r>
      <w:r>
        <w:rPr>
          <w:rFonts w:hint="eastAsia" w:ascii="宋体" w:hAnsi="宋体"/>
          <w:b/>
          <w:szCs w:val="21"/>
          <w:lang w:val="en-US" w:eastAsia="zh-CN"/>
        </w:rPr>
        <w:t>二</w:t>
      </w:r>
      <w:r>
        <w:rPr>
          <w:rFonts w:hint="eastAsia" w:ascii="宋体" w:hAnsi="宋体"/>
          <w:b/>
          <w:szCs w:val="21"/>
        </w:rPr>
        <w:t xml:space="preserve">条  </w:t>
      </w:r>
      <w:r>
        <w:rPr>
          <w:rFonts w:hint="eastAsia" w:ascii="宋体" w:hAnsi="宋体"/>
          <w:szCs w:val="21"/>
        </w:rPr>
        <w:t>保险人自收到给付保险金请求和有关证明、资料之日起六十日内，对确定属于保险责任但保险金给付数额不能确定的，应根据已有证明和资料可以确定的数额先予支付；保险人最终确定给付的数额后，应当支付相应的差额。</w:t>
      </w:r>
    </w:p>
    <w:p>
      <w:pPr>
        <w:pStyle w:val="9"/>
        <w:spacing w:after="156" w:afterLines="50"/>
        <w:jc w:val="center"/>
        <w:rPr>
          <w:rFonts w:hint="eastAsia"/>
        </w:rPr>
      </w:pPr>
      <w:r>
        <w:rPr>
          <w:rFonts w:hint="eastAsia" w:ascii="宋体" w:hAnsi="宋体"/>
          <w:szCs w:val="21"/>
        </w:rPr>
        <w:t>投保人、被保险人义务</w:t>
      </w:r>
    </w:p>
    <w:p>
      <w:pPr>
        <w:adjustRightInd w:val="0"/>
        <w:snapToGrid w:val="0"/>
        <w:spacing w:after="156" w:afterLines="50"/>
        <w:ind w:firstLine="422" w:firstLineChars="200"/>
        <w:rPr>
          <w:rFonts w:ascii="宋体" w:hAnsi="宋体"/>
          <w:kern w:val="0"/>
          <w:szCs w:val="21"/>
        </w:rPr>
      </w:pPr>
      <w:r>
        <w:rPr>
          <w:rFonts w:hint="eastAsia" w:ascii="宋体" w:hAnsi="宋体"/>
          <w:b/>
          <w:szCs w:val="21"/>
        </w:rPr>
        <w:t>第十</w:t>
      </w:r>
      <w:r>
        <w:rPr>
          <w:rFonts w:hint="eastAsia" w:ascii="宋体" w:hAnsi="宋体"/>
          <w:b/>
          <w:szCs w:val="21"/>
          <w:lang w:val="en-US" w:eastAsia="zh-CN"/>
        </w:rPr>
        <w:t>三</w:t>
      </w:r>
      <w:r>
        <w:rPr>
          <w:rFonts w:hint="eastAsia" w:ascii="宋体" w:hAnsi="宋体"/>
          <w:b/>
          <w:szCs w:val="21"/>
        </w:rPr>
        <w:t xml:space="preserve">条  </w:t>
      </w:r>
      <w:r>
        <w:rPr>
          <w:rFonts w:hint="eastAsia" w:ascii="宋体" w:hAnsi="宋体"/>
          <w:kern w:val="0"/>
          <w:szCs w:val="21"/>
        </w:rPr>
        <w:t>订立保险合同，保险人就保险标的或者被保险人的有关情况提出询问的，投保人应当如实告知，并向保险人提供有关资料。</w:t>
      </w:r>
    </w:p>
    <w:p>
      <w:pPr>
        <w:widowControl/>
        <w:adjustRightInd w:val="0"/>
        <w:snapToGrid w:val="0"/>
        <w:spacing w:after="156" w:afterLines="50"/>
        <w:ind w:firstLine="422" w:firstLineChars="200"/>
        <w:jc w:val="left"/>
        <w:rPr>
          <w:rFonts w:ascii="宋体" w:hAnsi="宋体"/>
          <w:b/>
          <w:kern w:val="0"/>
          <w:szCs w:val="21"/>
        </w:rPr>
      </w:pPr>
      <w:r>
        <w:rPr>
          <w:rFonts w:hint="eastAsia" w:ascii="宋体" w:hAnsi="宋体"/>
          <w:b/>
          <w:kern w:val="0"/>
          <w:szCs w:val="21"/>
        </w:rPr>
        <w:t>投保人故意或者因重大过失未履行前款规定的如实告知义务，足以影响保险人决定是否同意承保或者提高保险费率的，保险人有权解除保险合同。</w:t>
      </w:r>
    </w:p>
    <w:p>
      <w:pPr>
        <w:widowControl/>
        <w:adjustRightInd w:val="0"/>
        <w:snapToGrid w:val="0"/>
        <w:spacing w:after="156" w:afterLines="50"/>
        <w:ind w:firstLine="420" w:firstLineChars="200"/>
        <w:jc w:val="left"/>
        <w:rPr>
          <w:rFonts w:ascii="宋体" w:hAnsi="宋体"/>
          <w:kern w:val="0"/>
          <w:szCs w:val="21"/>
        </w:rPr>
      </w:pPr>
      <w:r>
        <w:rPr>
          <w:rFonts w:hint="eastAsia" w:ascii="宋体" w:hAnsi="宋体"/>
          <w:kern w:val="0"/>
          <w:szCs w:val="21"/>
        </w:rPr>
        <w:t>前款规定的合同解除权，自保险人知道有解除事由之日起，超过三十日不行使而消灭。自合同成立之日起</w:t>
      </w:r>
      <w:r>
        <w:rPr>
          <w:rFonts w:ascii="宋体" w:hAnsi="宋体"/>
          <w:kern w:val="0"/>
          <w:szCs w:val="21"/>
        </w:rPr>
        <w:t>超过两年的，保险人不得解除合同</w:t>
      </w:r>
      <w:r>
        <w:rPr>
          <w:rFonts w:hint="eastAsia" w:ascii="宋体" w:hAnsi="宋体"/>
          <w:kern w:val="0"/>
          <w:szCs w:val="21"/>
        </w:rPr>
        <w:t>；发生保险事故的，保险人应当承担赔偿或者</w:t>
      </w:r>
      <w:r>
        <w:rPr>
          <w:rFonts w:ascii="宋体" w:hAnsi="宋体"/>
          <w:kern w:val="0"/>
          <w:szCs w:val="21"/>
        </w:rPr>
        <w:t>给付</w:t>
      </w:r>
      <w:r>
        <w:rPr>
          <w:rFonts w:hint="eastAsia" w:ascii="宋体" w:hAnsi="宋体"/>
          <w:kern w:val="0"/>
          <w:szCs w:val="21"/>
        </w:rPr>
        <w:t>保险金的责任。</w:t>
      </w:r>
    </w:p>
    <w:p>
      <w:pPr>
        <w:widowControl/>
        <w:tabs>
          <w:tab w:val="left" w:pos="1620"/>
        </w:tabs>
        <w:adjustRightInd w:val="0"/>
        <w:snapToGrid w:val="0"/>
        <w:spacing w:after="156" w:afterLines="50"/>
        <w:ind w:firstLine="422" w:firstLineChars="200"/>
        <w:jc w:val="left"/>
        <w:rPr>
          <w:rFonts w:ascii="宋体" w:hAnsi="宋体"/>
          <w:b/>
          <w:kern w:val="0"/>
          <w:szCs w:val="21"/>
        </w:rPr>
      </w:pPr>
      <w:r>
        <w:rPr>
          <w:rFonts w:hint="eastAsia" w:ascii="宋体" w:hAnsi="宋体"/>
          <w:b/>
          <w:kern w:val="0"/>
          <w:szCs w:val="21"/>
        </w:rPr>
        <w:t>投保人故意不履行如实告知义务的，保险人对于合同解除前发生的保险事故，不承担赔偿保险金或者</w:t>
      </w:r>
      <w:r>
        <w:rPr>
          <w:rFonts w:ascii="宋体" w:hAnsi="宋体"/>
          <w:b/>
          <w:kern w:val="0"/>
          <w:szCs w:val="21"/>
        </w:rPr>
        <w:t>给付保险金</w:t>
      </w:r>
      <w:r>
        <w:rPr>
          <w:rFonts w:hint="eastAsia" w:ascii="宋体" w:hAnsi="宋体"/>
          <w:b/>
          <w:kern w:val="0"/>
          <w:szCs w:val="21"/>
        </w:rPr>
        <w:t>的责任，并不退还保险费。</w:t>
      </w:r>
    </w:p>
    <w:p>
      <w:pPr>
        <w:widowControl/>
        <w:adjustRightInd w:val="0"/>
        <w:snapToGrid w:val="0"/>
        <w:spacing w:after="156" w:afterLines="50"/>
        <w:ind w:firstLine="422" w:firstLineChars="200"/>
        <w:jc w:val="left"/>
        <w:rPr>
          <w:rFonts w:ascii="宋体" w:hAnsi="宋体"/>
          <w:b/>
          <w:kern w:val="0"/>
          <w:szCs w:val="21"/>
        </w:rPr>
      </w:pPr>
      <w:r>
        <w:rPr>
          <w:rFonts w:hint="eastAsia" w:ascii="宋体" w:hAnsi="宋体"/>
          <w:b/>
          <w:kern w:val="0"/>
          <w:szCs w:val="21"/>
        </w:rPr>
        <w:t>投保人因重大过失未履行如实告知义务，对保险事故的发生有严重影响的，保险人对于合同解除前发生的保险事故，不承担赔偿保险金的责任，但应当退还保险费。</w:t>
      </w:r>
    </w:p>
    <w:p>
      <w:pPr>
        <w:pStyle w:val="7"/>
        <w:spacing w:after="156" w:afterLines="50"/>
        <w:ind w:left="0" w:leftChars="0"/>
        <w:rPr>
          <w:rFonts w:ascii="宋体" w:hAnsi="宋体"/>
          <w:b/>
          <w:szCs w:val="21"/>
        </w:rPr>
      </w:pPr>
      <w:r>
        <w:rPr>
          <w:rFonts w:hint="eastAsia" w:ascii="宋体" w:hAnsi="宋体"/>
          <w:kern w:val="0"/>
          <w:szCs w:val="21"/>
        </w:rPr>
        <w:t>保险人在合同订立时已经知道投保人未如实告知的情况的，保险人不得解除合同；发生保险事故的，保险人应当承担赔偿保险金的责任。</w:t>
      </w:r>
    </w:p>
    <w:p>
      <w:pPr>
        <w:pStyle w:val="7"/>
        <w:spacing w:after="156" w:afterLines="50"/>
        <w:ind w:left="0" w:leftChars="0" w:firstLine="422"/>
        <w:rPr>
          <w:rFonts w:hint="eastAsia" w:ascii="宋体" w:hAnsi="宋体" w:eastAsia="宋体"/>
          <w:b/>
          <w:color w:val="auto"/>
          <w:szCs w:val="21"/>
          <w:lang w:eastAsia="zh-CN"/>
        </w:rPr>
      </w:pPr>
      <w:r>
        <w:rPr>
          <w:rFonts w:hint="eastAsia" w:ascii="宋体" w:hAnsi="宋体"/>
          <w:b/>
          <w:color w:val="auto"/>
          <w:szCs w:val="21"/>
        </w:rPr>
        <w:t>第十</w:t>
      </w:r>
      <w:r>
        <w:rPr>
          <w:rFonts w:hint="eastAsia" w:ascii="宋体" w:hAnsi="宋体"/>
          <w:b/>
          <w:color w:val="auto"/>
          <w:szCs w:val="21"/>
          <w:lang w:val="en-US" w:eastAsia="zh-CN"/>
        </w:rPr>
        <w:t>四</w:t>
      </w:r>
      <w:r>
        <w:rPr>
          <w:rFonts w:hint="eastAsia" w:ascii="宋体" w:hAnsi="宋体"/>
          <w:b/>
          <w:color w:val="auto"/>
          <w:szCs w:val="21"/>
        </w:rPr>
        <w:t>条</w:t>
      </w:r>
      <w:r>
        <w:rPr>
          <w:rFonts w:hint="eastAsia" w:ascii="宋体" w:hAnsi="宋体"/>
          <w:color w:val="auto"/>
          <w:szCs w:val="21"/>
        </w:rPr>
        <w:t xml:space="preserve">  除另有约定外，投保人应当在保险合同成立时一次性交清全部保险费</w:t>
      </w:r>
      <w:r>
        <w:rPr>
          <w:rFonts w:hint="eastAsia" w:ascii="宋体" w:hAnsi="宋体"/>
          <w:color w:val="auto"/>
          <w:szCs w:val="21"/>
          <w:lang w:eastAsia="zh-CN"/>
        </w:rPr>
        <w:t>。</w:t>
      </w:r>
    </w:p>
    <w:p>
      <w:pPr>
        <w:pStyle w:val="7"/>
        <w:spacing w:after="156" w:afterLines="50"/>
        <w:ind w:left="0" w:leftChars="0" w:firstLine="422"/>
        <w:rPr>
          <w:rFonts w:hint="eastAsia" w:ascii="宋体" w:hAnsi="宋体"/>
          <w:b w:val="0"/>
          <w:bCs/>
          <w:szCs w:val="21"/>
        </w:rPr>
      </w:pPr>
      <w:r>
        <w:rPr>
          <w:rFonts w:hint="eastAsia" w:ascii="宋体" w:hAnsi="宋体"/>
          <w:b/>
          <w:szCs w:val="21"/>
        </w:rPr>
        <w:t>第十</w:t>
      </w:r>
      <w:r>
        <w:rPr>
          <w:rFonts w:hint="eastAsia" w:ascii="宋体" w:hAnsi="宋体"/>
          <w:b/>
          <w:szCs w:val="21"/>
          <w:lang w:val="en-US" w:eastAsia="zh-CN"/>
        </w:rPr>
        <w:t>五</w:t>
      </w:r>
      <w:r>
        <w:rPr>
          <w:rFonts w:hint="eastAsia" w:ascii="宋体" w:hAnsi="宋体"/>
          <w:b/>
          <w:szCs w:val="21"/>
        </w:rPr>
        <w:t>条</w:t>
      </w:r>
      <w:r>
        <w:rPr>
          <w:rFonts w:hint="eastAsia" w:ascii="宋体" w:hAnsi="宋体"/>
          <w:b w:val="0"/>
          <w:bCs/>
          <w:szCs w:val="21"/>
          <w:lang w:val="en-US" w:eastAsia="zh-CN"/>
        </w:rPr>
        <w:t xml:space="preserve">  </w:t>
      </w:r>
      <w:r>
        <w:rPr>
          <w:rFonts w:hint="eastAsia" w:ascii="宋体" w:hAnsi="宋体"/>
          <w:b w:val="0"/>
          <w:bCs/>
          <w:szCs w:val="21"/>
        </w:rPr>
        <w:t>投保人住所、通讯地址或电话等联系方式变更时，应及时以书面形式或双方认可的其他形式通知保险人。投保人未通知的，保险人按本保险合同所载的最后住所或通讯地址发送的有关通知，均视为已送达给投保人。</w:t>
      </w:r>
    </w:p>
    <w:p>
      <w:pPr>
        <w:pStyle w:val="7"/>
        <w:spacing w:after="156" w:afterLines="50"/>
        <w:ind w:left="0" w:leftChars="0" w:firstLine="422"/>
        <w:rPr>
          <w:rFonts w:hint="eastAsia" w:ascii="宋体" w:hAnsi="宋体"/>
          <w:b w:val="0"/>
          <w:bCs/>
          <w:szCs w:val="21"/>
        </w:rPr>
      </w:pPr>
      <w:r>
        <w:rPr>
          <w:rFonts w:hint="eastAsia" w:ascii="宋体" w:hAnsi="宋体"/>
          <w:b/>
          <w:szCs w:val="21"/>
        </w:rPr>
        <w:t>第十</w:t>
      </w:r>
      <w:r>
        <w:rPr>
          <w:rFonts w:hint="eastAsia" w:ascii="宋体" w:hAnsi="宋体"/>
          <w:b/>
          <w:szCs w:val="21"/>
          <w:lang w:val="en-US" w:eastAsia="zh-CN"/>
        </w:rPr>
        <w:t>六</w:t>
      </w:r>
      <w:r>
        <w:rPr>
          <w:rFonts w:hint="eastAsia" w:ascii="宋体" w:hAnsi="宋体"/>
          <w:b/>
          <w:szCs w:val="21"/>
        </w:rPr>
        <w:t>条</w:t>
      </w:r>
      <w:r>
        <w:rPr>
          <w:rFonts w:hint="eastAsia" w:ascii="宋体" w:hAnsi="宋体"/>
          <w:b w:val="0"/>
          <w:bCs/>
          <w:szCs w:val="21"/>
          <w:lang w:val="en-US" w:eastAsia="zh-CN"/>
        </w:rPr>
        <w:t xml:space="preserve">  </w:t>
      </w:r>
      <w:r>
        <w:rPr>
          <w:rFonts w:hint="eastAsia" w:ascii="宋体" w:hAnsi="宋体"/>
          <w:b w:val="0"/>
          <w:bCs/>
          <w:szCs w:val="21"/>
        </w:rPr>
        <w:t>投保人、被保险人或保险金申请人知道保险事故发生后，应当及时通知保险人。故意或者因重大过失未及时通知，致使保险事故的性质、原因、损失程度等难以确定的，保险人对无法确定的部分，不承担给付保险金责任，但保险人通过其他途径已经及时知道或者应当及时知道保险事故发生的除外。</w:t>
      </w:r>
    </w:p>
    <w:p>
      <w:pPr>
        <w:pStyle w:val="7"/>
        <w:spacing w:after="156" w:afterLines="50"/>
        <w:ind w:left="0" w:leftChars="0" w:firstLine="422"/>
        <w:rPr>
          <w:rFonts w:hint="eastAsia" w:ascii="宋体" w:hAnsi="宋体"/>
          <w:b w:val="0"/>
          <w:bCs/>
          <w:szCs w:val="21"/>
        </w:rPr>
      </w:pPr>
      <w:r>
        <w:rPr>
          <w:rFonts w:hint="eastAsia" w:ascii="宋体" w:hAnsi="宋体"/>
          <w:b w:val="0"/>
          <w:bCs/>
          <w:szCs w:val="21"/>
        </w:rPr>
        <w:t>上述约定，不包括因不可抗力而导致的迟延。</w:t>
      </w:r>
    </w:p>
    <w:p>
      <w:pPr>
        <w:adjustRightInd w:val="0"/>
        <w:snapToGrid w:val="0"/>
        <w:spacing w:after="156" w:afterLines="50"/>
        <w:jc w:val="center"/>
        <w:rPr>
          <w:rFonts w:hint="eastAsia" w:ascii="宋体" w:hAnsi="宋体"/>
          <w:b/>
          <w:szCs w:val="21"/>
        </w:rPr>
      </w:pPr>
      <w:r>
        <w:rPr>
          <w:rFonts w:hint="eastAsia" w:ascii="宋体" w:hAnsi="宋体"/>
          <w:b/>
          <w:szCs w:val="21"/>
        </w:rPr>
        <w:t>保险金的申请与给付</w:t>
      </w:r>
    </w:p>
    <w:p>
      <w:pPr>
        <w:pStyle w:val="7"/>
        <w:spacing w:after="156" w:afterLines="50"/>
        <w:ind w:left="0" w:leftChars="0" w:firstLine="422"/>
        <w:rPr>
          <w:rFonts w:hint="eastAsia" w:ascii="宋体" w:hAnsi="宋体"/>
          <w:b/>
          <w:bCs/>
          <w:szCs w:val="21"/>
        </w:rPr>
      </w:pPr>
      <w:r>
        <w:rPr>
          <w:rFonts w:hint="eastAsia" w:ascii="宋体" w:hAnsi="宋体"/>
          <w:b/>
          <w:szCs w:val="21"/>
        </w:rPr>
        <w:t>第</w:t>
      </w:r>
      <w:r>
        <w:rPr>
          <w:rFonts w:hint="eastAsia" w:ascii="宋体" w:hAnsi="宋体"/>
          <w:b/>
          <w:szCs w:val="21"/>
          <w:lang w:val="en-US" w:eastAsia="zh-CN"/>
        </w:rPr>
        <w:t>十七</w:t>
      </w:r>
      <w:r>
        <w:rPr>
          <w:rFonts w:hint="eastAsia" w:ascii="宋体" w:hAnsi="宋体"/>
          <w:b/>
          <w:szCs w:val="21"/>
        </w:rPr>
        <w:t xml:space="preserve">条  </w:t>
      </w:r>
      <w:r>
        <w:rPr>
          <w:rFonts w:hint="eastAsia" w:ascii="宋体" w:hAnsi="宋体"/>
          <w:szCs w:val="21"/>
        </w:rPr>
        <w:t>保险金申请人向保险人申请给付保险金时，应提交以下材料。保险金申请人因特殊原因不能提供以下材料的，应提供其他合法有效的材料。</w:t>
      </w:r>
      <w:r>
        <w:rPr>
          <w:rFonts w:hint="eastAsia" w:ascii="宋体" w:hAnsi="宋体"/>
          <w:b/>
          <w:bCs/>
          <w:szCs w:val="21"/>
        </w:rPr>
        <w:t>保险金申请人未能提供有关材料，导致保险人无法核实该申请的真实性的，保险人对无法核实部分不承担给付保险金的责任。</w:t>
      </w:r>
    </w:p>
    <w:p>
      <w:pPr>
        <w:pStyle w:val="9"/>
        <w:tabs>
          <w:tab w:val="clear" w:pos="840"/>
        </w:tabs>
        <w:spacing w:after="156" w:afterLines="50"/>
        <w:ind w:firstLine="420" w:firstLineChars="200"/>
        <w:rPr>
          <w:rFonts w:hint="eastAsia" w:ascii="宋体" w:hAnsi="宋体"/>
          <w:b w:val="0"/>
          <w:szCs w:val="21"/>
        </w:rPr>
      </w:pPr>
      <w:r>
        <w:rPr>
          <w:rFonts w:hint="eastAsia" w:ascii="宋体" w:hAnsi="宋体"/>
          <w:b w:val="0"/>
          <w:szCs w:val="21"/>
        </w:rPr>
        <w:t>（一）意外身故保险金申请</w:t>
      </w:r>
    </w:p>
    <w:p>
      <w:pPr>
        <w:pStyle w:val="7"/>
        <w:spacing w:after="156" w:afterLines="50"/>
        <w:ind w:left="0" w:leftChars="0"/>
        <w:rPr>
          <w:rFonts w:hint="eastAsia" w:ascii="宋体" w:hAnsi="宋体"/>
          <w:szCs w:val="21"/>
        </w:rPr>
      </w:pPr>
      <w:r>
        <w:rPr>
          <w:rFonts w:hint="eastAsia" w:ascii="宋体" w:hAnsi="宋体"/>
          <w:szCs w:val="21"/>
        </w:rPr>
        <w:t>1.保险金给付申请书；</w:t>
      </w:r>
    </w:p>
    <w:p>
      <w:pPr>
        <w:pStyle w:val="7"/>
        <w:spacing w:after="156" w:afterLines="50"/>
        <w:ind w:left="0" w:leftChars="0"/>
        <w:rPr>
          <w:rFonts w:hint="eastAsia" w:ascii="宋体" w:hAnsi="宋体"/>
          <w:szCs w:val="21"/>
        </w:rPr>
      </w:pPr>
      <w:r>
        <w:rPr>
          <w:rFonts w:hint="eastAsia" w:ascii="宋体" w:hAnsi="宋体"/>
          <w:szCs w:val="21"/>
        </w:rPr>
        <w:t>2.保险单原件及其他保险凭证；</w:t>
      </w:r>
    </w:p>
    <w:p>
      <w:pPr>
        <w:pStyle w:val="7"/>
        <w:spacing w:after="156" w:afterLines="50"/>
        <w:ind w:left="0" w:leftChars="0"/>
        <w:rPr>
          <w:rFonts w:hint="eastAsia" w:ascii="宋体" w:hAnsi="宋体"/>
          <w:szCs w:val="21"/>
        </w:rPr>
      </w:pPr>
      <w:r>
        <w:rPr>
          <w:rFonts w:hint="eastAsia" w:ascii="宋体" w:hAnsi="宋体"/>
          <w:szCs w:val="21"/>
          <w:lang w:val="en-US" w:eastAsia="zh-CN"/>
        </w:rPr>
        <w:t>3.</w:t>
      </w:r>
      <w:r>
        <w:rPr>
          <w:rFonts w:hint="eastAsia" w:ascii="宋体" w:hAnsi="宋体"/>
          <w:szCs w:val="21"/>
        </w:rPr>
        <w:t>保险金申请人的有效身份证件；</w:t>
      </w:r>
    </w:p>
    <w:p>
      <w:pPr>
        <w:pStyle w:val="7"/>
        <w:spacing w:after="156" w:afterLines="50"/>
        <w:ind w:left="0" w:leftChars="0"/>
        <w:rPr>
          <w:rFonts w:hint="eastAsia" w:ascii="宋体" w:hAnsi="宋体"/>
          <w:szCs w:val="21"/>
        </w:rPr>
      </w:pPr>
      <w:r>
        <w:rPr>
          <w:rFonts w:hint="eastAsia" w:ascii="宋体" w:hAnsi="宋体"/>
          <w:szCs w:val="21"/>
          <w:lang w:val="en-US" w:eastAsia="zh-CN"/>
        </w:rPr>
        <w:t>4.</w:t>
      </w:r>
      <w:r>
        <w:rPr>
          <w:rFonts w:hint="eastAsia" w:ascii="宋体" w:hAnsi="宋体"/>
          <w:szCs w:val="21"/>
        </w:rPr>
        <w:t>国家卫生行政部门认定的医疗机构、公安部门或其他相关机构出具的被保险人死亡</w:t>
      </w:r>
    </w:p>
    <w:p>
      <w:pPr>
        <w:pStyle w:val="7"/>
        <w:spacing w:after="156" w:afterLines="50"/>
        <w:ind w:left="0" w:leftChars="0" w:firstLine="0" w:firstLineChars="0"/>
        <w:rPr>
          <w:rFonts w:hint="eastAsia" w:ascii="宋体" w:hAnsi="宋体"/>
          <w:szCs w:val="21"/>
        </w:rPr>
      </w:pPr>
      <w:r>
        <w:rPr>
          <w:rFonts w:hint="eastAsia" w:ascii="宋体" w:hAnsi="宋体"/>
          <w:szCs w:val="21"/>
        </w:rPr>
        <w:t>证明；若被保险人为宣告死亡，须提供中华人民共和国法院出具的宣告死亡证明文件；</w:t>
      </w:r>
    </w:p>
    <w:p>
      <w:pPr>
        <w:pStyle w:val="7"/>
        <w:spacing w:after="156" w:afterLines="50"/>
        <w:ind w:left="0" w:leftChars="0"/>
        <w:rPr>
          <w:rFonts w:hint="eastAsia" w:ascii="宋体" w:hAnsi="宋体"/>
          <w:szCs w:val="21"/>
        </w:rPr>
      </w:pPr>
      <w:r>
        <w:rPr>
          <w:rFonts w:hint="eastAsia" w:ascii="宋体" w:hAnsi="宋体"/>
          <w:szCs w:val="21"/>
          <w:lang w:val="en-US" w:eastAsia="zh-CN"/>
        </w:rPr>
        <w:t>5.</w:t>
      </w:r>
      <w:r>
        <w:rPr>
          <w:rFonts w:hint="eastAsia" w:ascii="宋体" w:hAnsi="宋体"/>
          <w:szCs w:val="21"/>
        </w:rPr>
        <w:t>被保险人的户籍注销证明或其他相关证明；</w:t>
      </w:r>
    </w:p>
    <w:p>
      <w:pPr>
        <w:pStyle w:val="7"/>
        <w:spacing w:after="156" w:afterLines="50"/>
        <w:ind w:left="0" w:leftChars="0"/>
        <w:rPr>
          <w:rFonts w:hint="eastAsia" w:ascii="宋体" w:hAnsi="宋体"/>
          <w:szCs w:val="21"/>
        </w:rPr>
      </w:pPr>
      <w:r>
        <w:rPr>
          <w:rFonts w:hint="eastAsia" w:ascii="宋体" w:hAnsi="宋体"/>
          <w:szCs w:val="21"/>
          <w:lang w:val="en-US" w:eastAsia="zh-CN"/>
        </w:rPr>
        <w:t>6.</w:t>
      </w:r>
      <w:r>
        <w:rPr>
          <w:rFonts w:hint="eastAsia" w:ascii="宋体" w:hAnsi="宋体"/>
          <w:szCs w:val="21"/>
        </w:rPr>
        <w:t>保险金申请人所能提供的与确认保险事故的性质、原因等有关的其他证明和资料；</w:t>
      </w:r>
    </w:p>
    <w:p>
      <w:pPr>
        <w:pStyle w:val="7"/>
        <w:spacing w:after="156" w:afterLines="50"/>
        <w:ind w:left="0" w:leftChars="0"/>
        <w:rPr>
          <w:rFonts w:hint="eastAsia" w:ascii="宋体" w:hAnsi="宋体"/>
          <w:szCs w:val="21"/>
        </w:rPr>
      </w:pPr>
      <w:r>
        <w:rPr>
          <w:rFonts w:hint="eastAsia" w:ascii="宋体" w:hAnsi="宋体"/>
          <w:szCs w:val="21"/>
          <w:lang w:val="en-US" w:eastAsia="zh-CN"/>
        </w:rPr>
        <w:t>7.</w:t>
      </w:r>
      <w:r>
        <w:rPr>
          <w:rFonts w:hint="eastAsia" w:ascii="宋体" w:hAnsi="宋体"/>
          <w:szCs w:val="21"/>
        </w:rPr>
        <w:t>保险金作为被保险人遗产时，须提供可证明合法继承权的相关权利文件；</w:t>
      </w:r>
    </w:p>
    <w:p>
      <w:pPr>
        <w:pStyle w:val="7"/>
        <w:spacing w:after="156" w:afterLines="50"/>
        <w:ind w:left="0" w:leftChars="0"/>
        <w:rPr>
          <w:rFonts w:hint="eastAsia" w:ascii="宋体" w:hAnsi="宋体"/>
          <w:szCs w:val="21"/>
        </w:rPr>
      </w:pPr>
      <w:r>
        <w:rPr>
          <w:rFonts w:hint="eastAsia" w:ascii="宋体" w:hAnsi="宋体"/>
          <w:szCs w:val="21"/>
          <w:lang w:val="en-US" w:eastAsia="zh-CN"/>
        </w:rPr>
        <w:t>8.</w:t>
      </w:r>
      <w:r>
        <w:rPr>
          <w:rFonts w:hint="eastAsia" w:ascii="宋体" w:hAnsi="宋体"/>
          <w:szCs w:val="21"/>
        </w:rPr>
        <w:t>若保险金申请人委托他人申请的，还应提供授权委托书原件、委托人和受托人的有效身份证件等相关证明文件。</w:t>
      </w:r>
    </w:p>
    <w:p>
      <w:pPr>
        <w:pStyle w:val="9"/>
        <w:spacing w:after="156" w:afterLines="50"/>
        <w:ind w:firstLine="420" w:firstLineChars="200"/>
        <w:rPr>
          <w:rFonts w:hint="eastAsia" w:ascii="宋体" w:hAnsi="宋体"/>
          <w:b w:val="0"/>
          <w:szCs w:val="21"/>
        </w:rPr>
      </w:pPr>
      <w:r>
        <w:rPr>
          <w:rFonts w:hint="eastAsia" w:ascii="宋体" w:hAnsi="宋体"/>
          <w:b w:val="0"/>
          <w:szCs w:val="21"/>
        </w:rPr>
        <w:t>（二）意外</w:t>
      </w:r>
      <w:r>
        <w:rPr>
          <w:rFonts w:hint="eastAsia" w:ascii="宋体" w:hAnsi="宋体"/>
          <w:b w:val="0"/>
          <w:szCs w:val="21"/>
          <w:lang w:val="en-US" w:eastAsia="zh-CN"/>
        </w:rPr>
        <w:t>残疾</w:t>
      </w:r>
      <w:r>
        <w:rPr>
          <w:rFonts w:hint="eastAsia" w:ascii="宋体" w:hAnsi="宋体"/>
          <w:b w:val="0"/>
          <w:szCs w:val="21"/>
        </w:rPr>
        <w:t>保险金申请</w:t>
      </w:r>
    </w:p>
    <w:p>
      <w:pPr>
        <w:pStyle w:val="7"/>
        <w:spacing w:after="156" w:afterLines="50"/>
        <w:ind w:left="0" w:leftChars="0" w:firstLine="422"/>
        <w:rPr>
          <w:rFonts w:hint="eastAsia" w:ascii="宋体" w:hAnsi="宋体"/>
          <w:szCs w:val="21"/>
        </w:rPr>
      </w:pPr>
      <w:r>
        <w:rPr>
          <w:rFonts w:hint="eastAsia" w:ascii="宋体" w:hAnsi="宋体"/>
          <w:szCs w:val="21"/>
          <w:lang w:val="en-US" w:eastAsia="zh-CN"/>
        </w:rPr>
        <w:t>1.</w:t>
      </w:r>
      <w:r>
        <w:rPr>
          <w:rFonts w:hint="eastAsia" w:ascii="宋体" w:hAnsi="宋体"/>
          <w:szCs w:val="21"/>
        </w:rPr>
        <w:t>保险金给付申请书；</w:t>
      </w:r>
    </w:p>
    <w:p>
      <w:pPr>
        <w:pStyle w:val="7"/>
        <w:spacing w:after="156" w:afterLines="50"/>
        <w:ind w:left="0" w:leftChars="0" w:firstLine="422"/>
        <w:rPr>
          <w:rFonts w:hint="eastAsia" w:ascii="宋体" w:hAnsi="宋体"/>
          <w:szCs w:val="21"/>
        </w:rPr>
      </w:pPr>
      <w:r>
        <w:rPr>
          <w:rFonts w:hint="eastAsia" w:ascii="宋体" w:hAnsi="宋体"/>
          <w:szCs w:val="21"/>
          <w:lang w:val="en-US" w:eastAsia="zh-CN"/>
        </w:rPr>
        <w:t>2.</w:t>
      </w:r>
      <w:r>
        <w:rPr>
          <w:rFonts w:hint="eastAsia" w:ascii="宋体" w:hAnsi="宋体"/>
          <w:szCs w:val="21"/>
        </w:rPr>
        <w:t>保险单或保险凭证；</w:t>
      </w:r>
    </w:p>
    <w:p>
      <w:pPr>
        <w:pStyle w:val="7"/>
        <w:spacing w:after="156" w:afterLines="50"/>
        <w:ind w:left="0" w:leftChars="0" w:firstLine="422"/>
        <w:rPr>
          <w:rFonts w:hint="eastAsia" w:ascii="宋体" w:hAnsi="宋体"/>
          <w:szCs w:val="21"/>
        </w:rPr>
      </w:pPr>
      <w:r>
        <w:rPr>
          <w:rFonts w:hint="eastAsia" w:ascii="宋体" w:hAnsi="宋体"/>
          <w:szCs w:val="21"/>
          <w:lang w:val="en-US" w:eastAsia="zh-CN"/>
        </w:rPr>
        <w:t>3.</w:t>
      </w:r>
      <w:r>
        <w:rPr>
          <w:rFonts w:hint="eastAsia" w:ascii="宋体" w:hAnsi="宋体"/>
          <w:szCs w:val="21"/>
        </w:rPr>
        <w:t>保险金申请人的有效身份证件；</w:t>
      </w:r>
    </w:p>
    <w:p>
      <w:pPr>
        <w:pStyle w:val="7"/>
        <w:spacing w:after="156" w:afterLines="50"/>
        <w:ind w:left="0" w:leftChars="0" w:firstLine="422"/>
        <w:rPr>
          <w:rFonts w:hint="eastAsia" w:ascii="宋体" w:hAnsi="宋体"/>
          <w:szCs w:val="21"/>
        </w:rPr>
      </w:pPr>
      <w:r>
        <w:rPr>
          <w:rFonts w:hint="eastAsia" w:ascii="宋体" w:hAnsi="宋体"/>
          <w:szCs w:val="21"/>
          <w:lang w:val="en-US" w:eastAsia="zh-CN"/>
        </w:rPr>
        <w:t>4.</w:t>
      </w:r>
      <w:r>
        <w:rPr>
          <w:rFonts w:hint="eastAsia" w:ascii="宋体" w:hAnsi="宋体"/>
          <w:szCs w:val="21"/>
        </w:rPr>
        <w:t>二级以上（含二级）医院或保险人认可的医疗机构或司法鉴定机构出具的伤残程度鉴定书；</w:t>
      </w:r>
    </w:p>
    <w:p>
      <w:pPr>
        <w:pStyle w:val="7"/>
        <w:spacing w:after="156" w:afterLines="50"/>
        <w:ind w:left="0" w:leftChars="0" w:firstLine="422"/>
        <w:rPr>
          <w:rFonts w:hint="eastAsia" w:ascii="宋体" w:hAnsi="宋体"/>
          <w:szCs w:val="21"/>
        </w:rPr>
      </w:pPr>
      <w:r>
        <w:rPr>
          <w:rFonts w:hint="eastAsia" w:ascii="宋体" w:hAnsi="宋体"/>
          <w:szCs w:val="21"/>
          <w:lang w:val="en-US" w:eastAsia="zh-CN"/>
        </w:rPr>
        <w:t>5.</w:t>
      </w:r>
      <w:r>
        <w:rPr>
          <w:rFonts w:hint="eastAsia" w:ascii="宋体" w:hAnsi="宋体"/>
          <w:szCs w:val="21"/>
        </w:rPr>
        <w:t>保险金申请人所能提供的与确认保险事故的性质、原因、伤害程度等有关的其他证明和资料；</w:t>
      </w:r>
    </w:p>
    <w:p>
      <w:pPr>
        <w:pStyle w:val="7"/>
        <w:spacing w:after="156" w:afterLines="50"/>
        <w:ind w:left="0" w:leftChars="0" w:firstLine="422"/>
        <w:rPr>
          <w:rFonts w:hint="eastAsia" w:ascii="宋体" w:hAnsi="宋体"/>
          <w:b/>
          <w:szCs w:val="21"/>
        </w:rPr>
      </w:pPr>
      <w:r>
        <w:rPr>
          <w:rFonts w:hint="eastAsia" w:ascii="宋体" w:hAnsi="宋体"/>
          <w:szCs w:val="21"/>
          <w:lang w:val="en-US" w:eastAsia="zh-CN"/>
        </w:rPr>
        <w:t>6.</w:t>
      </w:r>
      <w:r>
        <w:rPr>
          <w:rFonts w:hint="eastAsia" w:ascii="宋体" w:hAnsi="宋体"/>
          <w:szCs w:val="21"/>
        </w:rPr>
        <w:t>若保险金申请人委托他人申请的，还应提供授权委托书原件、委托人和受托人的身份证明等相关证明文件。</w:t>
      </w:r>
    </w:p>
    <w:p>
      <w:pPr>
        <w:adjustRightInd w:val="0"/>
        <w:snapToGrid w:val="0"/>
        <w:spacing w:after="156" w:afterLines="50"/>
        <w:jc w:val="center"/>
        <w:rPr>
          <w:rFonts w:hint="eastAsia" w:ascii="宋体" w:hAnsi="宋体"/>
          <w:b/>
          <w:szCs w:val="21"/>
        </w:rPr>
      </w:pPr>
      <w:r>
        <w:rPr>
          <w:rFonts w:hint="eastAsia" w:ascii="宋体" w:hAnsi="宋体"/>
          <w:b/>
          <w:szCs w:val="21"/>
        </w:rPr>
        <w:t>争议处理和法律适用</w:t>
      </w:r>
    </w:p>
    <w:p>
      <w:pPr>
        <w:pStyle w:val="7"/>
        <w:spacing w:after="156" w:afterLines="50"/>
        <w:ind w:left="0" w:leftChars="0" w:firstLine="422"/>
        <w:rPr>
          <w:rFonts w:hint="eastAsia" w:ascii="宋体" w:hAnsi="宋体"/>
          <w:szCs w:val="21"/>
        </w:rPr>
      </w:pPr>
      <w:r>
        <w:rPr>
          <w:rFonts w:hint="eastAsia" w:ascii="宋体" w:hAnsi="宋体"/>
          <w:b/>
          <w:szCs w:val="21"/>
        </w:rPr>
        <w:t>第</w:t>
      </w:r>
      <w:r>
        <w:rPr>
          <w:rFonts w:hint="eastAsia" w:ascii="宋体" w:hAnsi="宋体"/>
          <w:b/>
          <w:szCs w:val="21"/>
          <w:lang w:val="en-US" w:eastAsia="zh-CN"/>
        </w:rPr>
        <w:t>十八</w:t>
      </w:r>
      <w:r>
        <w:rPr>
          <w:rFonts w:hint="eastAsia" w:ascii="宋体" w:hAnsi="宋体"/>
          <w:b/>
          <w:szCs w:val="21"/>
        </w:rPr>
        <w:t>条</w:t>
      </w:r>
      <w:r>
        <w:rPr>
          <w:rFonts w:hint="eastAsia" w:ascii="宋体" w:hAnsi="宋体"/>
          <w:szCs w:val="21"/>
        </w:rPr>
        <w:t xml:space="preserve">  因履行本保险合同发生的争议，由当事人协商解决。协商不成的，可以提交保险单载明的仲裁机构仲裁；保险单未载明仲裁机构且争议发生后未达成仲裁协议的，依法向中华人民共和国人民法院起诉。</w:t>
      </w:r>
    </w:p>
    <w:p>
      <w:pPr>
        <w:pStyle w:val="7"/>
        <w:spacing w:after="156" w:afterLines="50"/>
        <w:ind w:left="0" w:leftChars="0" w:firstLine="422"/>
        <w:rPr>
          <w:rFonts w:hint="eastAsia" w:ascii="宋体" w:hAnsi="宋体"/>
          <w:szCs w:val="21"/>
        </w:rPr>
      </w:pPr>
      <w:r>
        <w:rPr>
          <w:rFonts w:hint="eastAsia" w:ascii="宋体" w:hAnsi="宋体"/>
          <w:b/>
          <w:szCs w:val="21"/>
        </w:rPr>
        <w:t>第</w:t>
      </w:r>
      <w:r>
        <w:rPr>
          <w:rFonts w:hint="eastAsia" w:ascii="宋体" w:hAnsi="宋体"/>
          <w:b/>
          <w:szCs w:val="21"/>
          <w:lang w:val="en-US" w:eastAsia="zh-CN"/>
        </w:rPr>
        <w:t>十九</w:t>
      </w:r>
      <w:r>
        <w:rPr>
          <w:rFonts w:hint="eastAsia" w:ascii="宋体" w:hAnsi="宋体"/>
          <w:b/>
          <w:szCs w:val="21"/>
        </w:rPr>
        <w:t xml:space="preserve">条  </w:t>
      </w:r>
      <w:r>
        <w:rPr>
          <w:rFonts w:hint="eastAsia" w:ascii="宋体" w:hAnsi="宋体"/>
          <w:szCs w:val="21"/>
        </w:rPr>
        <w:t>本保险</w:t>
      </w:r>
      <w:r>
        <w:rPr>
          <w:rFonts w:ascii="宋体" w:hAnsi="宋体"/>
          <w:szCs w:val="21"/>
        </w:rPr>
        <w:t>合同的</w:t>
      </w:r>
      <w:r>
        <w:rPr>
          <w:rFonts w:hint="eastAsia" w:ascii="宋体" w:hAnsi="宋体"/>
          <w:szCs w:val="21"/>
        </w:rPr>
        <w:t>争议处理适用中华人民共和国法律</w:t>
      </w:r>
      <w:r>
        <w:rPr>
          <w:rFonts w:hint="eastAsia" w:ascii="宋体" w:hAnsi="宋体"/>
          <w:b/>
          <w:bCs/>
          <w:szCs w:val="21"/>
        </w:rPr>
        <w:t>（不包括港、澳、台地区法律）</w:t>
      </w:r>
      <w:r>
        <w:rPr>
          <w:rFonts w:hint="eastAsia" w:ascii="宋体" w:hAnsi="宋体"/>
          <w:szCs w:val="21"/>
        </w:rPr>
        <w:t>。</w:t>
      </w:r>
    </w:p>
    <w:p>
      <w:pPr>
        <w:adjustRightInd w:val="0"/>
        <w:snapToGrid w:val="0"/>
        <w:spacing w:after="156" w:afterLines="50"/>
        <w:jc w:val="center"/>
        <w:rPr>
          <w:rFonts w:hint="eastAsia" w:ascii="宋体" w:hAnsi="宋体"/>
          <w:b/>
          <w:szCs w:val="21"/>
        </w:rPr>
      </w:pPr>
      <w:r>
        <w:rPr>
          <w:rFonts w:hint="eastAsia"/>
          <w:b/>
        </w:rPr>
        <w:t>其他事项</w:t>
      </w:r>
    </w:p>
    <w:p>
      <w:pPr>
        <w:adjustRightInd w:val="0"/>
        <w:snapToGrid w:val="0"/>
        <w:spacing w:after="156" w:afterLines="50"/>
        <w:ind w:firstLine="422" w:firstLineChars="200"/>
        <w:rPr>
          <w:rFonts w:hint="eastAsia" w:ascii="宋体" w:hAnsi="宋体"/>
          <w:b/>
          <w:szCs w:val="21"/>
        </w:rPr>
      </w:pPr>
      <w:r>
        <w:rPr>
          <w:rFonts w:hint="eastAsia"/>
          <w:b/>
        </w:rPr>
        <w:t xml:space="preserve">第二十条  </w:t>
      </w:r>
      <w:r>
        <w:rPr>
          <w:rFonts w:hint="eastAsia"/>
        </w:rPr>
        <w:t>在本保险合同成立后，投保人可以书面形式通知保险人解除合同，</w:t>
      </w:r>
      <w:r>
        <w:rPr>
          <w:rFonts w:hint="eastAsia"/>
          <w:b/>
        </w:rPr>
        <w:t>但保险人已根据本保险合同约定给付保险金的除外。</w:t>
      </w:r>
    </w:p>
    <w:p>
      <w:pPr>
        <w:pStyle w:val="7"/>
        <w:spacing w:after="156" w:afterLines="50"/>
        <w:ind w:left="0" w:leftChars="0"/>
        <w:rPr>
          <w:rFonts w:hint="eastAsia" w:ascii="宋体" w:hAnsi="宋体"/>
          <w:szCs w:val="21"/>
        </w:rPr>
      </w:pPr>
      <w:r>
        <w:rPr>
          <w:rFonts w:hint="eastAsia" w:ascii="宋体" w:hAnsi="宋体"/>
          <w:szCs w:val="21"/>
        </w:rPr>
        <w:t>投保人解除本保险合同时，应提供下列证明文件和资料：</w:t>
      </w:r>
    </w:p>
    <w:p>
      <w:pPr>
        <w:pStyle w:val="7"/>
        <w:spacing w:after="156" w:afterLines="50"/>
        <w:ind w:left="0" w:leftChars="0"/>
        <w:rPr>
          <w:rFonts w:hint="eastAsia" w:ascii="宋体" w:hAnsi="宋体"/>
          <w:szCs w:val="21"/>
        </w:rPr>
      </w:pPr>
      <w:r>
        <w:rPr>
          <w:rFonts w:hint="eastAsia" w:ascii="宋体" w:hAnsi="宋体"/>
          <w:szCs w:val="21"/>
        </w:rPr>
        <w:t>（一）保险合同解除申请书；</w:t>
      </w:r>
    </w:p>
    <w:p>
      <w:pPr>
        <w:pStyle w:val="7"/>
        <w:spacing w:after="156" w:afterLines="50"/>
        <w:ind w:left="0" w:leftChars="0"/>
        <w:rPr>
          <w:rFonts w:hint="eastAsia" w:ascii="宋体" w:hAnsi="宋体"/>
          <w:szCs w:val="21"/>
        </w:rPr>
      </w:pPr>
      <w:r>
        <w:rPr>
          <w:rFonts w:hint="eastAsia" w:ascii="宋体" w:hAnsi="宋体"/>
          <w:szCs w:val="21"/>
        </w:rPr>
        <w:t>（二）保险单原件；</w:t>
      </w:r>
    </w:p>
    <w:p>
      <w:pPr>
        <w:pStyle w:val="7"/>
        <w:spacing w:after="156" w:afterLines="50"/>
        <w:ind w:left="0" w:leftChars="0"/>
        <w:rPr>
          <w:rFonts w:hint="eastAsia" w:ascii="宋体" w:hAnsi="宋体"/>
          <w:szCs w:val="21"/>
        </w:rPr>
      </w:pPr>
      <w:r>
        <w:rPr>
          <w:rFonts w:hint="eastAsia" w:ascii="宋体" w:hAnsi="宋体"/>
          <w:szCs w:val="21"/>
        </w:rPr>
        <w:t>（三）保险费交付凭证；</w:t>
      </w:r>
    </w:p>
    <w:p>
      <w:pPr>
        <w:pStyle w:val="7"/>
        <w:spacing w:after="156" w:afterLines="50"/>
        <w:ind w:left="0" w:leftChars="0"/>
        <w:rPr>
          <w:rFonts w:hint="eastAsia" w:ascii="宋体" w:hAnsi="宋体"/>
          <w:szCs w:val="21"/>
        </w:rPr>
      </w:pPr>
      <w:r>
        <w:rPr>
          <w:rFonts w:hint="eastAsia" w:ascii="宋体" w:hAnsi="宋体"/>
          <w:szCs w:val="21"/>
        </w:rPr>
        <w:t>（四）投保人身份证明。</w:t>
      </w:r>
    </w:p>
    <w:p>
      <w:pPr>
        <w:pStyle w:val="7"/>
        <w:spacing w:after="156" w:afterLines="50"/>
        <w:ind w:left="0" w:leftChars="0"/>
        <w:rPr>
          <w:rFonts w:hint="eastAsia" w:ascii="宋体" w:hAnsi="宋体"/>
          <w:color w:val="auto"/>
          <w:szCs w:val="21"/>
        </w:rPr>
      </w:pPr>
      <w:r>
        <w:rPr>
          <w:rFonts w:hint="eastAsia" w:ascii="宋体" w:hAnsi="宋体"/>
          <w:szCs w:val="21"/>
        </w:rPr>
        <w:t>投保人要求解除本保险合同，自保险人接到保险合同解除申请书之时起，本保险合同的效力终止。保险人收到上述证明文件和资料之日起30日内退还保险单</w:t>
      </w:r>
      <w:r>
        <w:rPr>
          <w:rFonts w:hint="eastAsia" w:ascii="宋体" w:hAnsi="宋体"/>
          <w:color w:val="auto"/>
          <w:szCs w:val="21"/>
        </w:rPr>
        <w:t>的最低现金价值。</w:t>
      </w:r>
    </w:p>
    <w:p>
      <w:pPr>
        <w:adjustRightInd w:val="0"/>
        <w:snapToGrid w:val="0"/>
        <w:spacing w:after="156" w:afterLines="50"/>
        <w:jc w:val="center"/>
        <w:rPr>
          <w:rFonts w:hint="eastAsia" w:ascii="宋体" w:hAnsi="宋体"/>
          <w:szCs w:val="21"/>
        </w:rPr>
      </w:pPr>
      <w:r>
        <w:rPr>
          <w:rFonts w:hint="eastAsia" w:ascii="宋体" w:hAnsi="宋体"/>
          <w:b/>
          <w:szCs w:val="21"/>
        </w:rPr>
        <w:t>释义</w:t>
      </w:r>
    </w:p>
    <w:p>
      <w:pPr>
        <w:pStyle w:val="7"/>
        <w:spacing w:after="156" w:afterLines="50"/>
        <w:ind w:left="0" w:leftChars="0" w:firstLine="422"/>
        <w:rPr>
          <w:rFonts w:ascii="宋体" w:hAnsi="宋体"/>
          <w:b/>
          <w:szCs w:val="21"/>
        </w:rPr>
      </w:pPr>
      <w:r>
        <w:rPr>
          <w:rFonts w:hint="eastAsia" w:ascii="宋体" w:hAnsi="宋体"/>
          <w:b/>
          <w:color w:val="000000"/>
          <w:szCs w:val="21"/>
        </w:rPr>
        <w:t>第二十</w:t>
      </w:r>
      <w:r>
        <w:rPr>
          <w:rFonts w:hint="eastAsia" w:ascii="宋体" w:hAnsi="宋体"/>
          <w:b/>
          <w:color w:val="000000"/>
          <w:szCs w:val="21"/>
          <w:lang w:val="en-US" w:eastAsia="zh-CN"/>
        </w:rPr>
        <w:t>一</w:t>
      </w:r>
      <w:r>
        <w:rPr>
          <w:rFonts w:ascii="宋体" w:hAnsi="宋体"/>
          <w:b/>
          <w:color w:val="000000"/>
          <w:szCs w:val="21"/>
        </w:rPr>
        <w:t>条</w:t>
      </w:r>
      <w:r>
        <w:rPr>
          <w:rFonts w:hint="eastAsia" w:ascii="宋体" w:hAnsi="宋体"/>
          <w:b/>
          <w:color w:val="000000"/>
          <w:szCs w:val="21"/>
        </w:rPr>
        <w:t xml:space="preserve">  </w:t>
      </w:r>
      <w:r>
        <w:rPr>
          <w:kern w:val="0"/>
          <w:szCs w:val="21"/>
        </w:rPr>
        <w:t>本保险合同涉及下列术语时，适用下列释义：</w:t>
      </w:r>
    </w:p>
    <w:p>
      <w:pPr>
        <w:pStyle w:val="7"/>
        <w:spacing w:after="156" w:afterLines="50"/>
        <w:ind w:left="0" w:leftChars="0"/>
        <w:rPr>
          <w:rFonts w:hint="eastAsia" w:ascii="宋体" w:hAnsi="宋体"/>
          <w:b w:val="0"/>
          <w:szCs w:val="21"/>
        </w:rPr>
      </w:pPr>
      <w:r>
        <w:rPr>
          <w:rFonts w:hint="eastAsia" w:ascii="宋体" w:hAnsi="宋体"/>
          <w:b/>
          <w:bCs/>
          <w:szCs w:val="21"/>
        </w:rPr>
        <w:t>（一）意外伤害</w:t>
      </w:r>
      <w:r>
        <w:rPr>
          <w:rFonts w:hint="eastAsia" w:ascii="宋体" w:hAnsi="宋体"/>
          <w:b w:val="0"/>
          <w:szCs w:val="21"/>
        </w:rPr>
        <w:t>：指以外来的、突发的、非本意的和非疾病的客观事件为直接且单独的原因致使身体受到的伤害。</w:t>
      </w:r>
    </w:p>
    <w:p>
      <w:pPr>
        <w:pStyle w:val="9"/>
        <w:tabs>
          <w:tab w:val="clear" w:pos="840"/>
        </w:tabs>
        <w:spacing w:after="156" w:afterLines="50"/>
        <w:ind w:firstLine="422" w:firstLineChars="200"/>
        <w:rPr>
          <w:rFonts w:hint="eastAsia" w:ascii="宋体" w:hAnsi="宋体" w:eastAsia="宋体"/>
          <w:b w:val="0"/>
          <w:szCs w:val="21"/>
          <w:lang w:eastAsia="zh-CN"/>
        </w:rPr>
      </w:pPr>
      <w:r>
        <w:rPr>
          <w:rFonts w:hint="eastAsia" w:ascii="宋体" w:hAnsi="宋体"/>
          <w:b/>
          <w:bCs/>
          <w:szCs w:val="21"/>
          <w:lang w:eastAsia="zh-CN"/>
        </w:rPr>
        <w:t>（</w:t>
      </w:r>
      <w:r>
        <w:rPr>
          <w:rFonts w:hint="eastAsia" w:ascii="宋体" w:hAnsi="宋体"/>
          <w:b/>
          <w:bCs/>
          <w:szCs w:val="21"/>
          <w:lang w:val="en-US" w:eastAsia="zh-CN"/>
        </w:rPr>
        <w:t>二</w:t>
      </w:r>
      <w:r>
        <w:rPr>
          <w:rFonts w:hint="eastAsia" w:ascii="宋体" w:hAnsi="宋体"/>
          <w:b/>
          <w:bCs/>
          <w:szCs w:val="21"/>
          <w:lang w:eastAsia="zh-CN"/>
        </w:rPr>
        <w:t>）</w:t>
      </w:r>
      <w:r>
        <w:rPr>
          <w:rFonts w:hint="eastAsia" w:ascii="宋体" w:hAnsi="宋体"/>
          <w:b/>
          <w:bCs/>
          <w:szCs w:val="21"/>
        </w:rPr>
        <w:t>高原反应</w:t>
      </w:r>
      <w:r>
        <w:rPr>
          <w:rFonts w:hint="eastAsia" w:ascii="宋体" w:hAnsi="宋体"/>
          <w:b w:val="0"/>
          <w:szCs w:val="21"/>
          <w:lang w:eastAsia="zh-CN"/>
        </w:rPr>
        <w:t>：是指人到达一定海拔高度后，身体为适应因海拔高度造成的气压差、含氧量少、空气干燥等的变化，而产生的自然生理反应。</w:t>
      </w:r>
    </w:p>
    <w:p>
      <w:pPr>
        <w:adjustRightInd w:val="0"/>
        <w:snapToGrid w:val="0"/>
        <w:spacing w:after="156" w:afterLines="50"/>
        <w:ind w:firstLine="422" w:firstLineChars="200"/>
        <w:rPr>
          <w:rFonts w:hint="eastAsia" w:ascii="宋体" w:hAnsi="宋体" w:eastAsia="宋体"/>
          <w:szCs w:val="21"/>
          <w:lang w:eastAsia="zh-CN"/>
        </w:rPr>
      </w:pPr>
      <w:r>
        <w:rPr>
          <w:rFonts w:hint="eastAsia" w:ascii="宋体" w:hAnsi="宋体"/>
          <w:b/>
          <w:bCs/>
          <w:szCs w:val="21"/>
          <w:lang w:val="en-US" w:eastAsia="zh-CN"/>
        </w:rPr>
        <w:t>（三）</w:t>
      </w:r>
      <w:r>
        <w:rPr>
          <w:rFonts w:hint="eastAsia" w:ascii="宋体" w:hAnsi="宋体"/>
          <w:b/>
          <w:bCs/>
          <w:szCs w:val="21"/>
        </w:rPr>
        <w:t>中暑</w:t>
      </w:r>
      <w:r>
        <w:rPr>
          <w:rFonts w:hint="eastAsia" w:ascii="宋体" w:hAnsi="宋体"/>
          <w:szCs w:val="21"/>
          <w:lang w:eastAsia="zh-CN"/>
        </w:rPr>
        <w:t>：是指在高温环境下人体体温调节功能紊乱而引起的中枢神经系统和循环系统障碍为主要表现的急性疾病。</w:t>
      </w:r>
    </w:p>
    <w:p>
      <w:pPr>
        <w:adjustRightInd w:val="0"/>
        <w:snapToGrid w:val="0"/>
        <w:spacing w:after="156" w:afterLines="50"/>
        <w:ind w:firstLine="422" w:firstLineChars="200"/>
        <w:rPr>
          <w:rFonts w:hint="eastAsia" w:ascii="宋体" w:hAnsi="宋体"/>
        </w:rPr>
      </w:pPr>
      <w:r>
        <w:rPr>
          <w:rFonts w:hint="eastAsia" w:ascii="宋体" w:hAnsi="宋体"/>
          <w:b/>
          <w:bCs w:val="0"/>
          <w:szCs w:val="21"/>
          <w:lang w:val="en-US" w:eastAsia="zh-CN"/>
        </w:rPr>
        <w:t>（四）</w:t>
      </w:r>
      <w:r>
        <w:rPr>
          <w:rFonts w:hint="eastAsia" w:ascii="宋体" w:hAnsi="宋体"/>
          <w:b/>
          <w:bCs w:val="0"/>
          <w:szCs w:val="21"/>
        </w:rPr>
        <w:t>猝死：</w:t>
      </w:r>
      <w:r>
        <w:rPr>
          <w:rFonts w:hint="eastAsia" w:ascii="宋体" w:hAnsi="宋体"/>
        </w:rPr>
        <w:t>指表面健康的人因潜在疾病或机能障碍原因在出现症状后即刻或6小时内发生的非暴力性突然死亡。猝死的认定以医院的诊断和公安部门的鉴定为准。</w:t>
      </w:r>
    </w:p>
    <w:p>
      <w:pPr>
        <w:pStyle w:val="9"/>
        <w:tabs>
          <w:tab w:val="clear" w:pos="840"/>
        </w:tabs>
        <w:spacing w:after="156" w:afterLines="50"/>
        <w:ind w:firstLine="422" w:firstLineChars="200"/>
        <w:rPr>
          <w:rFonts w:hint="eastAsia" w:ascii="宋体" w:hAnsi="宋体" w:eastAsia="宋体"/>
          <w:b w:val="0"/>
          <w:lang w:val="en-US" w:eastAsia="zh-CN"/>
        </w:rPr>
      </w:pPr>
      <w:r>
        <w:rPr>
          <w:rFonts w:hint="eastAsia" w:ascii="宋体" w:hAnsi="宋体"/>
          <w:b/>
          <w:bCs/>
          <w:lang w:eastAsia="zh-CN"/>
        </w:rPr>
        <w:t>（</w:t>
      </w:r>
      <w:r>
        <w:rPr>
          <w:rFonts w:hint="eastAsia" w:ascii="宋体" w:hAnsi="宋体"/>
          <w:b/>
          <w:bCs/>
          <w:lang w:val="en-US" w:eastAsia="zh-CN"/>
        </w:rPr>
        <w:t>五</w:t>
      </w:r>
      <w:r>
        <w:rPr>
          <w:rFonts w:hint="eastAsia" w:ascii="宋体" w:hAnsi="宋体"/>
          <w:b/>
          <w:bCs/>
          <w:lang w:eastAsia="zh-CN"/>
        </w:rPr>
        <w:t>）</w:t>
      </w:r>
      <w:r>
        <w:rPr>
          <w:rFonts w:hint="eastAsia" w:ascii="宋体" w:hAnsi="宋体"/>
          <w:b/>
          <w:bCs/>
          <w:lang w:val="en-US" w:eastAsia="zh-CN"/>
        </w:rPr>
        <w:t>酒后驾驶</w:t>
      </w:r>
      <w:r>
        <w:rPr>
          <w:rFonts w:hint="eastAsia" w:ascii="宋体" w:hAnsi="宋体"/>
          <w:b w:val="0"/>
          <w:lang w:val="en-US" w:eastAsia="zh-CN"/>
        </w:rPr>
        <w:t>：指经检测或鉴定，发生事故时车辆驾驶人员每百毫升血液中的酒精含量达到或超过一定的标准，公安机关交通管理部门依据《道路交通安全法》的规定认定为饮酒后驾驶或醉酒后驾驶。</w:t>
      </w:r>
    </w:p>
    <w:p>
      <w:pPr>
        <w:pStyle w:val="9"/>
        <w:tabs>
          <w:tab w:val="clear" w:pos="840"/>
        </w:tabs>
        <w:spacing w:after="156" w:afterLines="50"/>
        <w:ind w:firstLine="422" w:firstLineChars="200"/>
        <w:rPr>
          <w:rFonts w:hint="eastAsia" w:ascii="宋体" w:hAnsi="宋体"/>
          <w:szCs w:val="21"/>
        </w:rPr>
      </w:pPr>
      <w:r>
        <w:rPr>
          <w:rFonts w:hint="eastAsia" w:ascii="宋体" w:hAnsi="宋体"/>
          <w:b/>
          <w:bCs/>
        </w:rPr>
        <w:t>（</w:t>
      </w:r>
      <w:r>
        <w:rPr>
          <w:rFonts w:hint="eastAsia" w:ascii="宋体" w:hAnsi="宋体"/>
          <w:b/>
          <w:bCs/>
          <w:lang w:val="en-US" w:eastAsia="zh-CN"/>
        </w:rPr>
        <w:t>六</w:t>
      </w:r>
      <w:r>
        <w:rPr>
          <w:rFonts w:hint="eastAsia" w:ascii="宋体" w:hAnsi="宋体"/>
          <w:b/>
          <w:bCs/>
        </w:rPr>
        <w:t>）</w:t>
      </w:r>
      <w:r>
        <w:rPr>
          <w:rFonts w:hint="eastAsia" w:ascii="宋体" w:hAnsi="宋体"/>
          <w:b/>
          <w:bCs/>
          <w:szCs w:val="21"/>
        </w:rPr>
        <w:t>无有效驾驶证</w:t>
      </w:r>
      <w:r>
        <w:rPr>
          <w:rFonts w:hint="eastAsia" w:ascii="宋体" w:hAnsi="宋体"/>
          <w:b w:val="0"/>
          <w:szCs w:val="21"/>
          <w:lang w:eastAsia="zh-CN"/>
        </w:rPr>
        <w:t>：</w:t>
      </w:r>
      <w:r>
        <w:rPr>
          <w:rFonts w:hint="eastAsia" w:ascii="宋体" w:hAnsi="宋体"/>
          <w:b w:val="0"/>
          <w:bCs/>
          <w:szCs w:val="21"/>
        </w:rPr>
        <w:t>被保险人存在下列情形之一者：</w:t>
      </w:r>
    </w:p>
    <w:p>
      <w:pPr>
        <w:pStyle w:val="7"/>
        <w:spacing w:after="156" w:afterLines="50"/>
        <w:ind w:left="0" w:leftChars="0"/>
        <w:rPr>
          <w:rFonts w:hint="eastAsia" w:ascii="宋体" w:hAnsi="宋体"/>
          <w:szCs w:val="21"/>
        </w:rPr>
      </w:pPr>
      <w:r>
        <w:rPr>
          <w:rFonts w:hint="eastAsia" w:ascii="宋体" w:hAnsi="宋体"/>
          <w:szCs w:val="21"/>
        </w:rPr>
        <w:t>1.无驾驶证或驾驶证有效期已届满；</w:t>
      </w:r>
    </w:p>
    <w:p>
      <w:pPr>
        <w:pStyle w:val="7"/>
        <w:spacing w:after="156" w:afterLines="50"/>
        <w:ind w:left="0" w:leftChars="0"/>
        <w:rPr>
          <w:rFonts w:hint="eastAsia" w:ascii="宋体" w:hAnsi="宋体"/>
          <w:szCs w:val="21"/>
        </w:rPr>
      </w:pPr>
      <w:r>
        <w:rPr>
          <w:rFonts w:hint="eastAsia" w:ascii="宋体" w:hAnsi="宋体"/>
          <w:szCs w:val="21"/>
        </w:rPr>
        <w:t>2.驾驶的机动车与驾驶证载明的准驾车型不符；</w:t>
      </w:r>
    </w:p>
    <w:p>
      <w:pPr>
        <w:pStyle w:val="7"/>
        <w:spacing w:after="156" w:afterLines="50"/>
        <w:ind w:left="0" w:leftChars="0"/>
        <w:rPr>
          <w:rFonts w:hint="eastAsia" w:ascii="宋体" w:hAnsi="宋体"/>
          <w:szCs w:val="21"/>
        </w:rPr>
      </w:pPr>
      <w:r>
        <w:rPr>
          <w:rFonts w:ascii="宋体" w:hAnsi="宋体"/>
          <w:szCs w:val="21"/>
        </w:rPr>
        <w:t>3</w:t>
      </w:r>
      <w:r>
        <w:rPr>
          <w:rFonts w:hint="eastAsia" w:ascii="宋体" w:hAnsi="宋体"/>
          <w:szCs w:val="21"/>
        </w:rPr>
        <w:t>.实习期内驾驶公共汽车、营运客车或者载有爆炸物品、易燃易爆化学物品、剧毒或者放射性等危险物品的机动车，实习期内驾驶机动车牵引挂车；</w:t>
      </w:r>
    </w:p>
    <w:p>
      <w:pPr>
        <w:pStyle w:val="7"/>
        <w:spacing w:after="156" w:afterLines="50"/>
        <w:ind w:left="0" w:leftChars="0"/>
        <w:rPr>
          <w:rFonts w:hint="eastAsia" w:ascii="宋体" w:hAnsi="宋体"/>
          <w:szCs w:val="21"/>
        </w:rPr>
      </w:pPr>
      <w:r>
        <w:rPr>
          <w:rFonts w:ascii="宋体" w:hAnsi="宋体"/>
          <w:szCs w:val="21"/>
        </w:rPr>
        <w:t>4</w:t>
      </w:r>
      <w:r>
        <w:rPr>
          <w:rFonts w:hint="eastAsia" w:ascii="宋体" w:hAnsi="宋体"/>
          <w:szCs w:val="21"/>
        </w:rPr>
        <w:t>.持未按规定审验的驾驶证，以及在暂扣、扣留、吊销、注销驾驶证期间驾驶机动车；</w:t>
      </w:r>
    </w:p>
    <w:p>
      <w:pPr>
        <w:pStyle w:val="7"/>
        <w:spacing w:after="156" w:afterLines="50"/>
        <w:ind w:left="0" w:leftChars="0"/>
        <w:rPr>
          <w:rFonts w:hint="eastAsia" w:ascii="宋体" w:hAnsi="宋体"/>
          <w:szCs w:val="21"/>
        </w:rPr>
      </w:pPr>
      <w:r>
        <w:rPr>
          <w:rFonts w:ascii="宋体" w:hAnsi="宋体"/>
          <w:szCs w:val="21"/>
        </w:rPr>
        <w:t>5</w:t>
      </w:r>
      <w:r>
        <w:rPr>
          <w:rFonts w:hint="eastAsia" w:ascii="宋体" w:hAnsi="宋体"/>
          <w:szCs w:val="21"/>
        </w:rPr>
        <w:t>.使用各种专用机械车、特种车的人员无国家有关部门核发的有效操作证，驾驶营业性客车的驾驶人无国家有关部门核发的有效资格证书；</w:t>
      </w:r>
    </w:p>
    <w:p>
      <w:pPr>
        <w:pStyle w:val="7"/>
        <w:spacing w:after="156" w:afterLines="50"/>
        <w:ind w:left="0" w:leftChars="0"/>
        <w:rPr>
          <w:rFonts w:hint="eastAsia" w:ascii="宋体" w:hAnsi="宋体"/>
          <w:szCs w:val="21"/>
        </w:rPr>
      </w:pPr>
      <w:r>
        <w:rPr>
          <w:rFonts w:ascii="宋体" w:hAnsi="宋体"/>
          <w:szCs w:val="21"/>
        </w:rPr>
        <w:t>6</w:t>
      </w:r>
      <w:r>
        <w:rPr>
          <w:rFonts w:hint="eastAsia" w:ascii="宋体" w:hAnsi="宋体"/>
          <w:szCs w:val="21"/>
        </w:rPr>
        <w:t>.依照法律法规或公安机关交通管理部门有关规定不允许驾驶机动车的其他情况下驾车。</w:t>
      </w:r>
    </w:p>
    <w:p>
      <w:pPr>
        <w:pStyle w:val="7"/>
        <w:spacing w:after="156" w:afterLines="50"/>
        <w:ind w:left="0" w:leftChars="0"/>
        <w:rPr>
          <w:rFonts w:hint="eastAsia" w:ascii="宋体" w:hAnsi="宋体"/>
          <w:szCs w:val="21"/>
        </w:rPr>
      </w:pPr>
      <w:r>
        <w:rPr>
          <w:rFonts w:hint="eastAsia" w:ascii="宋体" w:hAnsi="宋体"/>
          <w:b/>
          <w:bCs/>
          <w:szCs w:val="21"/>
        </w:rPr>
        <w:t>（</w:t>
      </w:r>
      <w:r>
        <w:rPr>
          <w:rFonts w:hint="eastAsia" w:ascii="宋体" w:hAnsi="宋体"/>
          <w:b/>
          <w:bCs/>
          <w:szCs w:val="21"/>
          <w:lang w:val="en-US" w:eastAsia="zh-CN"/>
        </w:rPr>
        <w:t>七</w:t>
      </w:r>
      <w:r>
        <w:rPr>
          <w:rFonts w:hint="eastAsia" w:ascii="宋体" w:hAnsi="宋体"/>
          <w:b/>
          <w:bCs/>
          <w:szCs w:val="21"/>
        </w:rPr>
        <w:t>）无有效行驶证</w:t>
      </w:r>
      <w:r>
        <w:rPr>
          <w:rFonts w:hint="eastAsia" w:ascii="宋体" w:hAnsi="宋体"/>
          <w:b/>
          <w:bCs/>
          <w:szCs w:val="21"/>
          <w:lang w:eastAsia="zh-CN"/>
        </w:rPr>
        <w:t>：</w:t>
      </w:r>
      <w:r>
        <w:rPr>
          <w:rFonts w:hint="eastAsia" w:ascii="宋体" w:hAnsi="宋体"/>
          <w:szCs w:val="21"/>
        </w:rPr>
        <w:t>指下列情形之一</w:t>
      </w:r>
      <w:r>
        <w:rPr>
          <w:rFonts w:hint="eastAsia" w:ascii="宋体" w:hAnsi="宋体"/>
          <w:b w:val="0"/>
          <w:bCs/>
          <w:szCs w:val="21"/>
        </w:rPr>
        <w:t>者</w:t>
      </w:r>
      <w:r>
        <w:rPr>
          <w:rFonts w:hint="eastAsia" w:ascii="宋体" w:hAnsi="宋体"/>
          <w:szCs w:val="21"/>
        </w:rPr>
        <w:t>：</w:t>
      </w:r>
    </w:p>
    <w:p>
      <w:pPr>
        <w:pStyle w:val="7"/>
        <w:spacing w:after="156" w:afterLines="50"/>
        <w:ind w:left="0" w:leftChars="0"/>
        <w:rPr>
          <w:rFonts w:hint="eastAsia" w:ascii="宋体" w:hAnsi="宋体"/>
          <w:szCs w:val="21"/>
        </w:rPr>
      </w:pPr>
      <w:r>
        <w:rPr>
          <w:rFonts w:hint="eastAsia" w:ascii="宋体" w:hAnsi="宋体"/>
          <w:szCs w:val="21"/>
        </w:rPr>
        <w:t>1.机动车被依法注销登记的；</w:t>
      </w:r>
    </w:p>
    <w:p>
      <w:pPr>
        <w:pStyle w:val="7"/>
        <w:spacing w:after="156" w:afterLines="50"/>
        <w:ind w:left="0" w:leftChars="0"/>
        <w:rPr>
          <w:rFonts w:hint="eastAsia" w:ascii="宋体" w:hAnsi="宋体"/>
          <w:szCs w:val="21"/>
        </w:rPr>
      </w:pPr>
      <w:r>
        <w:rPr>
          <w:rFonts w:ascii="宋体" w:hAnsi="宋体"/>
          <w:szCs w:val="21"/>
        </w:rPr>
        <w:t>2</w:t>
      </w:r>
      <w:r>
        <w:rPr>
          <w:rFonts w:hint="eastAsia" w:ascii="宋体" w:hAnsi="宋体"/>
          <w:szCs w:val="21"/>
        </w:rPr>
        <w:t>.无公安机关交通管理部门核发的行驶证、号牌，或临时号牌或临时移动证的机动交通工具；</w:t>
      </w:r>
    </w:p>
    <w:p>
      <w:pPr>
        <w:pStyle w:val="7"/>
        <w:spacing w:after="156" w:afterLines="50"/>
        <w:ind w:left="0" w:leftChars="0"/>
        <w:rPr>
          <w:rFonts w:hint="eastAsia" w:ascii="宋体" w:hAnsi="宋体"/>
          <w:szCs w:val="21"/>
        </w:rPr>
      </w:pPr>
      <w:r>
        <w:rPr>
          <w:rFonts w:ascii="宋体" w:hAnsi="宋体"/>
          <w:szCs w:val="21"/>
        </w:rPr>
        <w:t>3</w:t>
      </w:r>
      <w:r>
        <w:rPr>
          <w:rFonts w:hint="eastAsia" w:ascii="宋体" w:hAnsi="宋体"/>
          <w:szCs w:val="21"/>
        </w:rPr>
        <w:t>.未在规定检验期限内进行机动车安全技术检验或检验未通过的机动交通工具。未依法按时进行或通过机动车安全技术检验。</w:t>
      </w:r>
    </w:p>
    <w:p>
      <w:pPr>
        <w:pStyle w:val="9"/>
        <w:tabs>
          <w:tab w:val="clear" w:pos="840"/>
        </w:tabs>
        <w:spacing w:after="156" w:afterLines="50"/>
        <w:ind w:firstLine="422" w:firstLineChars="200"/>
        <w:rPr>
          <w:rFonts w:hint="eastAsia" w:ascii="宋体" w:hAnsi="宋体" w:eastAsia="宋体"/>
          <w:b w:val="0"/>
          <w:szCs w:val="21"/>
          <w:lang w:val="en-US" w:eastAsia="zh-CN"/>
        </w:rPr>
      </w:pPr>
      <w:r>
        <w:rPr>
          <w:rFonts w:hint="eastAsia" w:ascii="宋体" w:hAnsi="宋体"/>
          <w:b/>
          <w:bCs/>
          <w:szCs w:val="21"/>
          <w:lang w:val="en-US" w:eastAsia="zh-CN"/>
        </w:rPr>
        <w:t>（八）毒品</w:t>
      </w:r>
      <w:r>
        <w:rPr>
          <w:rFonts w:hint="eastAsia" w:ascii="宋体" w:hAnsi="宋体"/>
          <w:b w:val="0"/>
          <w:szCs w:val="21"/>
          <w:lang w:val="en-US" w:eastAsia="zh-CN"/>
        </w:rPr>
        <w:t>：指中华人民共和国刑法规定的鸦片、海洛因、甲基苯丙胺（冰毒）、吗啡、大麻、可卡因以及国家规定管制的其他能够使人形成瘾癖的麻醉药品和精神药品。</w:t>
      </w:r>
    </w:p>
    <w:p>
      <w:pPr>
        <w:adjustRightInd w:val="0"/>
        <w:snapToGrid w:val="0"/>
        <w:spacing w:after="156" w:afterLines="50"/>
        <w:ind w:firstLine="422" w:firstLineChars="200"/>
        <w:rPr>
          <w:rFonts w:hint="eastAsia" w:ascii="宋体"/>
        </w:rPr>
      </w:pPr>
      <w:r>
        <w:rPr>
          <w:rFonts w:hint="eastAsia" w:ascii="宋体" w:hAnsi="宋体"/>
          <w:b/>
          <w:bCs/>
          <w:szCs w:val="21"/>
        </w:rPr>
        <w:t>（</w:t>
      </w:r>
      <w:r>
        <w:rPr>
          <w:rFonts w:hint="eastAsia" w:ascii="宋体" w:hAnsi="宋体"/>
          <w:b/>
          <w:bCs/>
          <w:szCs w:val="21"/>
          <w:lang w:val="en-US" w:eastAsia="zh-CN"/>
        </w:rPr>
        <w:t>九</w:t>
      </w:r>
      <w:r>
        <w:rPr>
          <w:rFonts w:hint="eastAsia" w:ascii="宋体" w:hAnsi="宋体"/>
          <w:b/>
          <w:bCs/>
          <w:szCs w:val="21"/>
        </w:rPr>
        <w:t>）</w:t>
      </w:r>
      <w:r>
        <w:rPr>
          <w:rFonts w:hint="eastAsia" w:ascii="宋体" w:hAnsi="宋体" w:cs="宋体"/>
          <w:b/>
          <w:bCs/>
        </w:rPr>
        <w:t>高风险运动</w:t>
      </w:r>
      <w:r>
        <w:rPr>
          <w:rFonts w:hint="eastAsia" w:ascii="宋体" w:hAnsi="宋体" w:cs="宋体"/>
          <w:bCs/>
        </w:rPr>
        <w:t>：</w:t>
      </w:r>
      <w:r>
        <w:rPr>
          <w:rFonts w:hint="eastAsia" w:ascii="宋体"/>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w:t>
      </w:r>
    </w:p>
    <w:p>
      <w:pPr>
        <w:pStyle w:val="11"/>
        <w:snapToGrid w:val="0"/>
        <w:spacing w:after="156" w:afterLines="50"/>
        <w:ind w:firstLine="422" w:firstLineChars="200"/>
        <w:jc w:val="both"/>
        <w:rPr>
          <w:rFonts w:hint="eastAsia" w:hAnsi="宋体"/>
          <w:color w:val="auto"/>
          <w:sz w:val="21"/>
        </w:rPr>
      </w:pPr>
      <w:r>
        <w:rPr>
          <w:rFonts w:hint="eastAsia" w:hAnsi="宋体"/>
          <w:b/>
          <w:bCs/>
          <w:color w:val="auto"/>
          <w:kern w:val="2"/>
          <w:sz w:val="21"/>
          <w:szCs w:val="21"/>
        </w:rPr>
        <w:t>（</w:t>
      </w:r>
      <w:r>
        <w:rPr>
          <w:rFonts w:hint="eastAsia" w:hAnsi="宋体"/>
          <w:b/>
          <w:bCs/>
          <w:color w:val="auto"/>
          <w:kern w:val="2"/>
          <w:sz w:val="21"/>
          <w:szCs w:val="21"/>
          <w:lang w:val="en-US" w:eastAsia="zh-CN"/>
        </w:rPr>
        <w:t>十</w:t>
      </w:r>
      <w:r>
        <w:rPr>
          <w:rFonts w:hint="eastAsia" w:hAnsi="宋体"/>
          <w:b/>
          <w:bCs/>
          <w:color w:val="auto"/>
          <w:kern w:val="2"/>
          <w:sz w:val="21"/>
          <w:szCs w:val="21"/>
        </w:rPr>
        <w:t>）</w:t>
      </w:r>
      <w:r>
        <w:rPr>
          <w:rFonts w:hint="eastAsia" w:hAnsi="宋体"/>
          <w:b/>
          <w:bCs/>
          <w:color w:val="auto"/>
          <w:sz w:val="21"/>
        </w:rPr>
        <w:t>患艾滋病（AIDS）或感染艾滋病毒（HIV阳性）</w:t>
      </w:r>
      <w:r>
        <w:rPr>
          <w:rFonts w:hint="eastAsia" w:hAnsi="宋体"/>
          <w:color w:val="auto"/>
          <w:sz w:val="21"/>
        </w:rPr>
        <w:t>：艾滋病毒为人类免疫缺陷病毒，英文缩写HIV。艾滋病指人类免疫缺陷病毒引起的获得性免疫缺陷综合征，英文缩写为AIDS。在人体血液或其他样本中检测到艾滋病病毒或其抗体为阳性，没有出现临床症状或体征的，为感染艾滋病病毒；如果同时出现了明显临床症状或体征的，为患艾滋病。</w:t>
      </w:r>
    </w:p>
    <w:p>
      <w:pPr>
        <w:pStyle w:val="9"/>
        <w:tabs>
          <w:tab w:val="clear" w:pos="840"/>
        </w:tabs>
        <w:spacing w:after="156" w:afterLines="50"/>
        <w:ind w:firstLine="422" w:firstLineChars="200"/>
        <w:rPr>
          <w:rFonts w:hint="eastAsia" w:ascii="宋体" w:hAnsi="宋体"/>
          <w:b w:val="0"/>
          <w:color w:val="auto"/>
          <w:szCs w:val="21"/>
          <w:lang w:val="en-US" w:eastAsia="zh-CN"/>
        </w:rPr>
      </w:pPr>
      <w:r>
        <w:rPr>
          <w:rFonts w:hint="eastAsia" w:ascii="宋体" w:hAnsi="宋体"/>
          <w:b/>
          <w:bCs/>
          <w:color w:val="auto"/>
          <w:szCs w:val="21"/>
        </w:rPr>
        <w:t>（</w:t>
      </w:r>
      <w:r>
        <w:rPr>
          <w:rFonts w:hint="eastAsia" w:ascii="宋体" w:hAnsi="宋体"/>
          <w:b/>
          <w:bCs/>
          <w:color w:val="auto"/>
          <w:szCs w:val="21"/>
          <w:lang w:val="en-US" w:eastAsia="zh-CN"/>
        </w:rPr>
        <w:t>十一</w:t>
      </w:r>
      <w:r>
        <w:rPr>
          <w:rFonts w:hint="eastAsia" w:ascii="宋体" w:hAnsi="宋体"/>
          <w:b/>
          <w:bCs/>
          <w:color w:val="auto"/>
          <w:szCs w:val="21"/>
        </w:rPr>
        <w:t>）</w:t>
      </w:r>
      <w:r>
        <w:rPr>
          <w:rFonts w:hint="eastAsia" w:ascii="宋体" w:hAnsi="宋体"/>
          <w:b/>
          <w:bCs/>
          <w:color w:val="auto"/>
          <w:szCs w:val="21"/>
          <w:lang w:val="en-US" w:eastAsia="zh-CN"/>
        </w:rPr>
        <w:t>最低现金价值：</w:t>
      </w:r>
      <w:r>
        <w:rPr>
          <w:rFonts w:hint="eastAsia" w:ascii="宋体" w:hAnsi="宋体"/>
          <w:b w:val="0"/>
          <w:color w:val="auto"/>
          <w:szCs w:val="21"/>
          <w:lang w:val="en-US" w:eastAsia="zh-CN"/>
        </w:rPr>
        <w:t>最低现金价值=净保费×（1-m/n），其中，m为已生效天数，n为保险期间的天数，经过日期不足一日的按一日计算。</w:t>
      </w:r>
    </w:p>
    <w:p>
      <w:pPr>
        <w:pStyle w:val="9"/>
        <w:tabs>
          <w:tab w:val="clear" w:pos="840"/>
        </w:tabs>
        <w:spacing w:after="156" w:afterLines="50"/>
        <w:ind w:firstLine="420" w:firstLineChars="200"/>
        <w:rPr>
          <w:rFonts w:hint="eastAsia" w:ascii="宋体" w:hAnsi="宋体" w:eastAsia="宋体"/>
          <w:b w:val="0"/>
          <w:color w:val="auto"/>
          <w:szCs w:val="21"/>
          <w:lang w:val="en-US" w:eastAsia="zh-CN"/>
        </w:rPr>
      </w:pPr>
      <w:r>
        <w:rPr>
          <w:rFonts w:hint="eastAsia" w:ascii="宋体" w:hAnsi="宋体"/>
          <w:b w:val="0"/>
          <w:color w:val="auto"/>
          <w:szCs w:val="21"/>
        </w:rPr>
        <w:t>净保费：净保费指投保人所支付的保险费扣除每个保险合同平均承担的保险人的各项费用（含营业费用、代理费、各项税金、保险保障基金等）后的余额，</w:t>
      </w:r>
      <w:r>
        <w:rPr>
          <w:rFonts w:hint="eastAsia" w:ascii="宋体" w:hAnsi="宋体"/>
          <w:b w:val="0"/>
          <w:color w:val="auto"/>
          <w:szCs w:val="21"/>
          <w:lang w:val="en-US" w:eastAsia="zh-CN"/>
        </w:rPr>
        <w:t>除保单另有约定外，</w:t>
      </w:r>
      <w:r>
        <w:rPr>
          <w:rFonts w:hint="eastAsia" w:ascii="宋体" w:hAnsi="宋体"/>
          <w:b w:val="0"/>
          <w:color w:val="auto"/>
          <w:szCs w:val="21"/>
        </w:rPr>
        <w:t>扣除部分占所交保险费的比例</w:t>
      </w:r>
      <w:r>
        <w:rPr>
          <w:rFonts w:hint="eastAsia" w:ascii="宋体" w:hAnsi="宋体"/>
          <w:b w:val="0"/>
          <w:color w:val="auto"/>
          <w:szCs w:val="21"/>
          <w:lang w:val="en-US" w:eastAsia="zh-CN"/>
        </w:rPr>
        <w:t>为20%</w:t>
      </w:r>
      <w:r>
        <w:rPr>
          <w:rFonts w:hint="eastAsia" w:ascii="宋体" w:hAnsi="宋体"/>
          <w:b w:val="0"/>
          <w:color w:val="auto"/>
          <w:szCs w:val="21"/>
        </w:rPr>
        <w:t>。</w:t>
      </w:r>
    </w:p>
    <w:p>
      <w:pPr>
        <w:pStyle w:val="7"/>
        <w:spacing w:after="156" w:afterLines="50"/>
        <w:ind w:left="0" w:leftChars="0"/>
        <w:rPr>
          <w:rFonts w:hint="eastAsia" w:ascii="宋体" w:hAnsi="宋体"/>
          <w:szCs w:val="21"/>
        </w:rPr>
      </w:pPr>
      <w:r>
        <w:rPr>
          <w:rFonts w:hint="eastAsia" w:ascii="宋体" w:hAnsi="宋体"/>
          <w:b/>
          <w:bCs/>
          <w:szCs w:val="21"/>
        </w:rPr>
        <w:t>（</w:t>
      </w:r>
      <w:r>
        <w:rPr>
          <w:rFonts w:hint="eastAsia" w:ascii="宋体" w:hAnsi="宋体"/>
          <w:b/>
          <w:bCs/>
          <w:szCs w:val="21"/>
          <w:lang w:val="en-US" w:eastAsia="zh-CN"/>
        </w:rPr>
        <w:t>十二</w:t>
      </w:r>
      <w:r>
        <w:rPr>
          <w:rFonts w:hint="eastAsia" w:ascii="宋体" w:hAnsi="宋体"/>
          <w:b/>
          <w:bCs/>
          <w:szCs w:val="21"/>
        </w:rPr>
        <w:t>）</w:t>
      </w:r>
      <w:r>
        <w:rPr>
          <w:rFonts w:hint="eastAsia"/>
          <w:b/>
          <w:bCs/>
        </w:rPr>
        <w:t>保险金申请人</w:t>
      </w:r>
      <w:r>
        <w:rPr>
          <w:rFonts w:hint="eastAsia" w:ascii="宋体" w:hAnsi="宋体"/>
          <w:szCs w:val="21"/>
        </w:rPr>
        <w:t>：指受益人或被保险人的继承人或依法享有保险金请求权的其他自然人。</w:t>
      </w:r>
    </w:p>
    <w:p>
      <w:pPr>
        <w:pStyle w:val="12"/>
        <w:autoSpaceDE w:val="0"/>
        <w:autoSpaceDN w:val="0"/>
        <w:snapToGrid w:val="0"/>
        <w:spacing w:after="156" w:afterLines="50"/>
        <w:ind w:firstLine="422" w:firstLineChars="200"/>
        <w:textAlignment w:val="bottom"/>
        <w:rPr>
          <w:rFonts w:hint="eastAsia" w:hAnsi="宋体"/>
          <w:kern w:val="2"/>
          <w:sz w:val="21"/>
          <w:szCs w:val="21"/>
        </w:rPr>
      </w:pPr>
      <w:r>
        <w:rPr>
          <w:rStyle w:val="10"/>
          <w:rFonts w:hint="eastAsia" w:ascii="宋体" w:hAnsi="宋体"/>
          <w:b/>
          <w:bCs w:val="0"/>
          <w:sz w:val="21"/>
          <w:szCs w:val="21"/>
        </w:rPr>
        <w:t>（十</w:t>
      </w:r>
      <w:r>
        <w:rPr>
          <w:rStyle w:val="10"/>
          <w:rFonts w:hint="eastAsia" w:hAnsi="宋体"/>
          <w:b/>
          <w:bCs w:val="0"/>
          <w:sz w:val="21"/>
          <w:szCs w:val="21"/>
          <w:lang w:val="en-US"/>
        </w:rPr>
        <w:t>三</w:t>
      </w:r>
      <w:r>
        <w:rPr>
          <w:rStyle w:val="10"/>
          <w:rFonts w:hint="eastAsia" w:ascii="宋体" w:hAnsi="宋体"/>
          <w:b/>
          <w:bCs w:val="0"/>
          <w:sz w:val="21"/>
          <w:szCs w:val="21"/>
        </w:rPr>
        <w:t>）</w:t>
      </w:r>
      <w:r>
        <w:rPr>
          <w:rStyle w:val="13"/>
          <w:rFonts w:hint="eastAsia" w:hAnsi="宋体"/>
          <w:b/>
          <w:bCs w:val="0"/>
          <w:sz w:val="21"/>
          <w:szCs w:val="21"/>
        </w:rPr>
        <w:t>不可抗力</w:t>
      </w:r>
      <w:r>
        <w:rPr>
          <w:rStyle w:val="13"/>
          <w:rFonts w:hint="eastAsia" w:hAnsi="宋体"/>
          <w:b w:val="0"/>
          <w:sz w:val="21"/>
          <w:szCs w:val="21"/>
        </w:rPr>
        <w:t>：</w:t>
      </w:r>
      <w:r>
        <w:rPr>
          <w:rFonts w:hint="eastAsia" w:hAnsi="宋体"/>
          <w:kern w:val="2"/>
          <w:sz w:val="21"/>
          <w:szCs w:val="21"/>
        </w:rPr>
        <w:t>指不能预见、不能避免并不能克服的客观情况。</w:t>
      </w:r>
    </w:p>
    <w:p>
      <w:pPr>
        <w:adjustRightInd w:val="0"/>
        <w:snapToGrid w:val="0"/>
        <w:spacing w:after="156" w:afterLines="50"/>
        <w:ind w:firstLine="422" w:firstLineChars="200"/>
        <w:rPr>
          <w:rFonts w:hint="eastAsia" w:ascii="宋体" w:hAnsi="宋体"/>
          <w:szCs w:val="21"/>
        </w:rPr>
      </w:pPr>
      <w:r>
        <w:rPr>
          <w:rStyle w:val="10"/>
          <w:rFonts w:hint="eastAsia" w:ascii="宋体" w:hAnsi="宋体"/>
          <w:b/>
          <w:bCs w:val="0"/>
          <w:sz w:val="21"/>
          <w:szCs w:val="21"/>
        </w:rPr>
        <w:t>（十</w:t>
      </w:r>
      <w:r>
        <w:rPr>
          <w:rStyle w:val="10"/>
          <w:rFonts w:hint="eastAsia" w:ascii="宋体" w:hAnsi="宋体"/>
          <w:b/>
          <w:bCs w:val="0"/>
          <w:sz w:val="21"/>
          <w:szCs w:val="21"/>
          <w:lang w:val="en-US"/>
        </w:rPr>
        <w:t>四</w:t>
      </w:r>
      <w:r>
        <w:rPr>
          <w:rStyle w:val="10"/>
          <w:rFonts w:hint="eastAsia" w:ascii="宋体" w:hAnsi="宋体"/>
          <w:b/>
          <w:bCs w:val="0"/>
          <w:sz w:val="21"/>
          <w:szCs w:val="21"/>
        </w:rPr>
        <w:t>）</w:t>
      </w:r>
      <w:r>
        <w:rPr>
          <w:rFonts w:hint="eastAsia" w:hAnsi="宋体"/>
          <w:b/>
          <w:bCs w:val="0"/>
          <w:szCs w:val="21"/>
        </w:rPr>
        <w:t>认可的医疗机构</w:t>
      </w:r>
      <w:r>
        <w:rPr>
          <w:rFonts w:hint="eastAsia" w:hAnsi="宋体"/>
          <w:szCs w:val="21"/>
        </w:rPr>
        <w:t>：是指</w:t>
      </w:r>
      <w:r>
        <w:rPr>
          <w:rFonts w:hint="eastAsia" w:ascii="宋体" w:hAnsi="宋体" w:cs="宋体"/>
          <w:szCs w:val="21"/>
        </w:rPr>
        <w:t>在中国境内（不包括香港、澳门、台湾）经中华人民共和国卫生部门评审确定的二级或以上的公立医院或投保人与保险人协商共同指定的医院或医疗机构，</w:t>
      </w:r>
      <w:r>
        <w:rPr>
          <w:rFonts w:hint="eastAsia" w:ascii="宋体" w:hAnsi="宋体"/>
          <w:szCs w:val="21"/>
        </w:rPr>
        <w:t>但不包括主要作为门诊、康复、护理、疗养、戒酒、戒毒或相类似的医疗机构。同时该医院必须具有符合有关医院管理规定设置标准的医疗设备，并且提供24小时有合格医师及护士的医疗和护理等服务。</w:t>
      </w:r>
    </w:p>
    <w:p>
      <w:pPr>
        <w:pStyle w:val="12"/>
        <w:autoSpaceDE w:val="0"/>
        <w:autoSpaceDN w:val="0"/>
        <w:snapToGrid w:val="0"/>
        <w:spacing w:after="156" w:afterLines="50"/>
        <w:ind w:firstLine="0"/>
        <w:textAlignment w:val="bottom"/>
        <w:rPr>
          <w:rFonts w:hint="eastAsia" w:hAnsi="宋体"/>
          <w:sz w:val="18"/>
          <w:szCs w:val="18"/>
        </w:rPr>
      </w:pPr>
      <w:r>
        <w:br w:type="page"/>
      </w:r>
    </w:p>
    <w:p>
      <w:pPr>
        <w:autoSpaceDE w:val="0"/>
        <w:autoSpaceDN w:val="0"/>
        <w:adjustRightInd w:val="0"/>
        <w:snapToGrid w:val="0"/>
        <w:spacing w:after="156" w:afterLines="50"/>
        <w:jc w:val="left"/>
        <w:textAlignment w:val="bottom"/>
        <w:rPr>
          <w:rFonts w:hint="eastAsia" w:ascii="宋体" w:hAnsi="宋体"/>
          <w:kern w:val="0"/>
          <w:szCs w:val="21"/>
        </w:rPr>
      </w:pPr>
      <w:r>
        <w:rPr>
          <w:rFonts w:hint="eastAsia" w:ascii="宋体" w:hAnsi="宋体"/>
          <w:kern w:val="0"/>
          <w:szCs w:val="21"/>
        </w:rPr>
        <w:t>附件：</w:t>
      </w:r>
    </w:p>
    <w:p>
      <w:pPr>
        <w:autoSpaceDE w:val="0"/>
        <w:autoSpaceDN w:val="0"/>
        <w:adjustRightInd w:val="0"/>
        <w:snapToGrid w:val="0"/>
        <w:spacing w:after="156" w:afterLines="50"/>
        <w:ind w:firstLine="2168" w:firstLineChars="900"/>
        <w:jc w:val="left"/>
        <w:textAlignment w:val="bottom"/>
        <w:rPr>
          <w:rFonts w:hint="eastAsia" w:ascii="宋体" w:hAnsi="宋体"/>
          <w:b/>
          <w:kern w:val="0"/>
          <w:sz w:val="24"/>
        </w:rPr>
      </w:pPr>
    </w:p>
    <w:p>
      <w:pPr>
        <w:autoSpaceDE w:val="0"/>
        <w:autoSpaceDN w:val="0"/>
        <w:adjustRightInd w:val="0"/>
        <w:snapToGrid w:val="0"/>
        <w:spacing w:after="156" w:afterLines="50"/>
        <w:ind w:firstLine="2168" w:firstLineChars="900"/>
        <w:jc w:val="left"/>
        <w:textAlignment w:val="bottom"/>
        <w:rPr>
          <w:rFonts w:hint="eastAsia" w:ascii="宋体" w:hAnsi="宋体"/>
          <w:b/>
          <w:kern w:val="0"/>
          <w:sz w:val="24"/>
        </w:rPr>
      </w:pPr>
    </w:p>
    <w:p>
      <w:pPr>
        <w:autoSpaceDE w:val="0"/>
        <w:autoSpaceDN w:val="0"/>
        <w:adjustRightInd w:val="0"/>
        <w:snapToGrid w:val="0"/>
        <w:spacing w:after="156" w:afterLines="50"/>
        <w:ind w:firstLine="2168" w:firstLineChars="900"/>
        <w:jc w:val="left"/>
        <w:textAlignment w:val="bottom"/>
        <w:rPr>
          <w:rFonts w:hint="eastAsia" w:ascii="宋体" w:hAnsi="宋体"/>
          <w:b/>
          <w:kern w:val="0"/>
          <w:sz w:val="24"/>
        </w:rPr>
      </w:pPr>
    </w:p>
    <w:p>
      <w:pPr>
        <w:autoSpaceDE w:val="0"/>
        <w:autoSpaceDN w:val="0"/>
        <w:adjustRightInd w:val="0"/>
        <w:snapToGrid w:val="0"/>
        <w:spacing w:after="156" w:afterLines="50"/>
        <w:ind w:firstLine="2168" w:firstLineChars="900"/>
        <w:jc w:val="left"/>
        <w:textAlignment w:val="bottom"/>
        <w:rPr>
          <w:rFonts w:hint="eastAsia" w:ascii="宋体" w:hAnsi="宋体"/>
          <w:b/>
          <w:kern w:val="0"/>
          <w:sz w:val="24"/>
        </w:rPr>
      </w:pPr>
    </w:p>
    <w:p>
      <w:pPr>
        <w:autoSpaceDE w:val="0"/>
        <w:autoSpaceDN w:val="0"/>
        <w:adjustRightInd w:val="0"/>
        <w:snapToGrid w:val="0"/>
        <w:spacing w:after="156" w:afterLines="50"/>
        <w:ind w:firstLine="2168" w:firstLineChars="900"/>
        <w:jc w:val="left"/>
        <w:textAlignment w:val="bottom"/>
        <w:rPr>
          <w:rFonts w:hint="eastAsia" w:ascii="宋体" w:hAnsi="宋体"/>
          <w:b/>
          <w:kern w:val="0"/>
          <w:sz w:val="24"/>
        </w:rPr>
      </w:pPr>
    </w:p>
    <w:p>
      <w:pPr>
        <w:autoSpaceDE w:val="0"/>
        <w:autoSpaceDN w:val="0"/>
        <w:adjustRightInd w:val="0"/>
        <w:snapToGrid w:val="0"/>
        <w:spacing w:after="156" w:afterLines="50"/>
        <w:ind w:firstLine="2168" w:firstLineChars="900"/>
        <w:jc w:val="left"/>
        <w:textAlignment w:val="bottom"/>
        <w:rPr>
          <w:rFonts w:hint="eastAsia" w:ascii="宋体" w:hAnsi="宋体"/>
          <w:b/>
          <w:kern w:val="0"/>
          <w:sz w:val="24"/>
        </w:rPr>
      </w:pPr>
    </w:p>
    <w:p>
      <w:pPr>
        <w:autoSpaceDE w:val="0"/>
        <w:autoSpaceDN w:val="0"/>
        <w:adjustRightInd w:val="0"/>
        <w:snapToGrid w:val="0"/>
        <w:spacing w:after="156" w:afterLines="50"/>
        <w:ind w:firstLine="241" w:firstLineChars="50"/>
        <w:jc w:val="center"/>
        <w:textAlignment w:val="bottom"/>
        <w:rPr>
          <w:rFonts w:hint="eastAsia" w:ascii="宋体" w:hAnsi="宋体"/>
          <w:b/>
          <w:kern w:val="0"/>
          <w:sz w:val="48"/>
          <w:szCs w:val="48"/>
        </w:rPr>
      </w:pPr>
      <w:r>
        <w:rPr>
          <w:rFonts w:hint="eastAsia" w:ascii="宋体" w:hAnsi="宋体"/>
          <w:b/>
          <w:kern w:val="0"/>
          <w:sz w:val="48"/>
          <w:szCs w:val="48"/>
        </w:rPr>
        <w:t>人身保险伤残评定标准</w:t>
      </w: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宋体" w:hAnsi="宋体"/>
          <w:b/>
          <w:caps/>
          <w:kern w:val="0"/>
          <w:szCs w:val="21"/>
        </w:rPr>
      </w:pPr>
    </w:p>
    <w:p>
      <w:pPr>
        <w:widowControl/>
        <w:jc w:val="center"/>
        <w:rPr>
          <w:rFonts w:hint="eastAsia" w:ascii="黑体" w:hAnsi="黑体" w:eastAsia="黑体"/>
          <w:b/>
          <w:caps/>
          <w:kern w:val="0"/>
          <w:sz w:val="32"/>
          <w:szCs w:val="32"/>
        </w:rPr>
      </w:pPr>
      <w:r>
        <w:rPr>
          <w:rFonts w:hint="eastAsia" w:ascii="黑体" w:hAnsi="黑体" w:eastAsia="黑体"/>
          <w:b/>
          <w:caps/>
          <w:kern w:val="0"/>
          <w:sz w:val="32"/>
          <w:szCs w:val="32"/>
        </w:rPr>
        <w:t>中国保险行业协会、中国法医学会联合发布</w:t>
      </w:r>
    </w:p>
    <w:p>
      <w:pPr>
        <w:widowControl/>
        <w:jc w:val="center"/>
        <w:rPr>
          <w:rFonts w:hint="eastAsia" w:ascii="黑体" w:hAnsi="黑体" w:eastAsia="黑体" w:cs="宋体"/>
          <w:b/>
          <w:bCs/>
          <w:kern w:val="0"/>
          <w:sz w:val="32"/>
          <w:szCs w:val="32"/>
        </w:rPr>
      </w:pPr>
      <w:r>
        <w:rPr>
          <w:rFonts w:hint="eastAsia" w:ascii="黑体" w:hAnsi="黑体" w:eastAsia="黑体" w:cs="宋体"/>
          <w:b/>
          <w:bCs/>
          <w:kern w:val="0"/>
          <w:sz w:val="32"/>
          <w:szCs w:val="32"/>
        </w:rPr>
        <w:t>二零一三年六月八日</w:t>
      </w:r>
    </w:p>
    <w:p>
      <w:pPr>
        <w:spacing w:line="300" w:lineRule="exact"/>
        <w:rPr>
          <w:rFonts w:hint="eastAsia" w:ascii="黑体" w:hAnsi="黑体" w:eastAsia="黑体" w:cs="宋体"/>
          <w:b/>
          <w:kern w:val="0"/>
          <w:sz w:val="30"/>
          <w:szCs w:val="30"/>
        </w:rPr>
      </w:pPr>
    </w:p>
    <w:p>
      <w:pPr>
        <w:spacing w:line="300" w:lineRule="exact"/>
        <w:rPr>
          <w:rFonts w:hint="eastAsia" w:ascii="宋体" w:hAnsi="宋体" w:cs="宋体"/>
          <w:b/>
          <w:kern w:val="0"/>
          <w:szCs w:val="21"/>
        </w:rPr>
      </w:pPr>
    </w:p>
    <w:p>
      <w:pPr>
        <w:spacing w:line="300" w:lineRule="exact"/>
        <w:jc w:val="center"/>
        <w:rPr>
          <w:rFonts w:hint="eastAsia" w:ascii="宋体" w:hAnsi="宋体" w:cs="宋体"/>
          <w:b/>
          <w:kern w:val="0"/>
          <w:szCs w:val="21"/>
        </w:rPr>
      </w:pPr>
      <w:r>
        <w:rPr>
          <w:rFonts w:hint="eastAsia" w:ascii="宋体" w:hAnsi="宋体" w:cs="宋体"/>
          <w:b/>
          <w:kern w:val="0"/>
          <w:szCs w:val="21"/>
        </w:rPr>
        <w:t>目录</w:t>
      </w:r>
    </w:p>
    <w:p>
      <w:pPr>
        <w:snapToGrid w:val="0"/>
        <w:spacing w:line="280" w:lineRule="atLeast"/>
        <w:rPr>
          <w:rFonts w:hint="eastAsia" w:ascii="宋体" w:hAnsi="宋体" w:cs="宋体"/>
          <w:b/>
          <w:kern w:val="0"/>
          <w:szCs w:val="21"/>
        </w:rPr>
      </w:pPr>
      <w:r>
        <w:rPr>
          <w:rFonts w:hint="eastAsia" w:ascii="宋体" w:hAnsi="宋体" w:cs="宋体"/>
          <w:b/>
          <w:kern w:val="0"/>
          <w:szCs w:val="21"/>
        </w:rPr>
        <w:t>前言</w:t>
      </w:r>
    </w:p>
    <w:p>
      <w:pPr>
        <w:snapToGrid w:val="0"/>
        <w:spacing w:line="280" w:lineRule="atLeast"/>
        <w:rPr>
          <w:rFonts w:hint="eastAsia" w:ascii="宋体" w:hAnsi="宋体" w:cs="宋体"/>
          <w:b/>
          <w:kern w:val="0"/>
          <w:szCs w:val="21"/>
        </w:rPr>
      </w:pPr>
      <w:r>
        <w:rPr>
          <w:rFonts w:hint="eastAsia" w:ascii="宋体" w:hAnsi="宋体" w:cs="宋体"/>
          <w:b/>
          <w:kern w:val="0"/>
          <w:szCs w:val="21"/>
        </w:rPr>
        <w:t>人身保险伤残评定标准（行业标准）</w:t>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1神经系统的结构和精神功能</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1.1脑膜的结构损伤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1.2脑的结构损伤，智力功能障碍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1.3意识功能障碍</w:t>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2眼，耳和有关的结构和功能</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2.1眼球损伤或视功能障碍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2.2视功能障碍</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2.3眼球的晶状体结构损伤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2.4眼睑结构损伤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2.5耳廓结构损伤或听功能障碍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2.6听功能障碍</w:t>
      </w:r>
      <w:r>
        <w:rPr>
          <w:rFonts w:hint="eastAsia" w:ascii="宋体" w:hAnsi="宋体" w:cs="宋体"/>
          <w:kern w:val="0"/>
          <w:szCs w:val="21"/>
        </w:rPr>
        <w:tab/>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3发声和言语的结构和功能</w:t>
      </w:r>
      <w:r>
        <w:rPr>
          <w:rFonts w:hint="eastAsia" w:ascii="宋体" w:hAnsi="宋体" w:cs="宋体"/>
          <w:b/>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3.1鼻的结构损伤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3.2口腔的结构损伤</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3.3发声和言语的功能障碍</w:t>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4心血管，免疫和呼吸系统的结构和功能</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4.1心脏的结构损伤或功能障碍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4.2脾结构损伤</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4.3肺的结构损伤</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4.4胸廓的结构损伤</w:t>
      </w:r>
      <w:r>
        <w:rPr>
          <w:rFonts w:hint="eastAsia" w:ascii="宋体" w:hAnsi="宋体" w:cs="宋体"/>
          <w:kern w:val="0"/>
          <w:szCs w:val="21"/>
        </w:rPr>
        <w:tab/>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5消化、代谢和内分泌系统有关的结构和功能</w:t>
      </w:r>
      <w:r>
        <w:rPr>
          <w:rFonts w:hint="eastAsia" w:ascii="宋体" w:hAnsi="宋体" w:cs="宋体"/>
          <w:b/>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5.1咀嚼和吞咽功能障碍</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5.2肠的结构损伤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5.3胃结构损伤</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5.4胰结构损伤或代谢功能障碍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5.5肝结构损伤</w:t>
      </w:r>
      <w:r>
        <w:rPr>
          <w:rFonts w:hint="eastAsia" w:ascii="宋体" w:hAnsi="宋体" w:cs="宋体"/>
          <w:kern w:val="0"/>
          <w:szCs w:val="21"/>
        </w:rPr>
        <w:tab/>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6泌尿和生殖系统有关的结构和功能</w:t>
      </w:r>
      <w:r>
        <w:rPr>
          <w:rFonts w:hint="eastAsia" w:ascii="宋体" w:hAnsi="宋体" w:cs="宋体"/>
          <w:b/>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6.1泌尿系统的结构损伤</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6.2生殖系统的结构损伤</w:t>
      </w:r>
      <w:r>
        <w:rPr>
          <w:rFonts w:hint="eastAsia" w:ascii="宋体" w:hAnsi="宋体" w:cs="宋体"/>
          <w:kern w:val="0"/>
          <w:szCs w:val="21"/>
        </w:rPr>
        <w:tab/>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7神经肌肉骨骼和运动有关的结构和功能</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7.1头颈部的结构损伤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7.2头颈部关节功能障碍</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7.3上肢的结构损伤，手功能或关节功能障碍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7.4骨盆部的结构损伤</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7.5下肢的结构损伤，足功能或关节功能障碍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7.6四肢的结构损伤，肢体功能或关节功能障碍</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7.7脊柱结构损伤和关节活动功能障碍</w:t>
      </w:r>
      <w:r>
        <w:rPr>
          <w:rFonts w:hint="eastAsia" w:ascii="宋体" w:hAnsi="宋体" w:cs="宋体"/>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7.8肌肉力量功能障碍</w:t>
      </w:r>
    </w:p>
    <w:p>
      <w:pPr>
        <w:snapToGrid w:val="0"/>
        <w:spacing w:line="280" w:lineRule="atLeast"/>
        <w:ind w:firstLine="422" w:firstLineChars="200"/>
        <w:rPr>
          <w:rFonts w:hint="eastAsia" w:ascii="宋体" w:hAnsi="宋体" w:cs="宋体"/>
          <w:b/>
          <w:kern w:val="0"/>
          <w:szCs w:val="21"/>
        </w:rPr>
      </w:pPr>
      <w:r>
        <w:rPr>
          <w:rFonts w:hint="eastAsia" w:ascii="宋体" w:hAnsi="宋体" w:cs="宋体"/>
          <w:b/>
          <w:kern w:val="0"/>
          <w:szCs w:val="21"/>
        </w:rPr>
        <w:t>8皮肤和有关的结构和功能</w:t>
      </w:r>
      <w:r>
        <w:rPr>
          <w:rFonts w:hint="eastAsia" w:ascii="宋体" w:hAnsi="宋体" w:cs="宋体"/>
          <w:b/>
          <w:kern w:val="0"/>
          <w:szCs w:val="21"/>
        </w:rPr>
        <w:tab/>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8.1头颈部皮肤结构损伤和修复功能障碍</w:t>
      </w:r>
    </w:p>
    <w:p>
      <w:pPr>
        <w:snapToGrid w:val="0"/>
        <w:spacing w:line="280" w:lineRule="atLeast"/>
        <w:ind w:firstLine="630" w:firstLineChars="300"/>
        <w:rPr>
          <w:rFonts w:hint="eastAsia" w:ascii="宋体" w:hAnsi="宋体" w:cs="宋体"/>
          <w:kern w:val="0"/>
          <w:szCs w:val="21"/>
        </w:rPr>
      </w:pPr>
      <w:r>
        <w:rPr>
          <w:rFonts w:hint="eastAsia" w:ascii="宋体" w:hAnsi="宋体" w:cs="宋体"/>
          <w:kern w:val="0"/>
          <w:szCs w:val="21"/>
        </w:rPr>
        <w:t>8.2各部位皮肤结构损伤和修复功能障碍</w:t>
      </w:r>
    </w:p>
    <w:p>
      <w:pPr>
        <w:jc w:val="center"/>
        <w:rPr>
          <w:rFonts w:ascii="宋体" w:hAnsi="宋体"/>
          <w:b/>
          <w:szCs w:val="21"/>
        </w:rPr>
      </w:pPr>
      <w:r>
        <w:rPr>
          <w:rFonts w:hint="eastAsia" w:ascii="宋体" w:hAnsi="宋体"/>
          <w:b/>
          <w:szCs w:val="21"/>
        </w:rPr>
        <w:t>前言</w:t>
      </w:r>
    </w:p>
    <w:p>
      <w:pPr>
        <w:snapToGrid w:val="0"/>
        <w:spacing w:line="300" w:lineRule="atLeast"/>
        <w:ind w:firstLine="420" w:firstLineChars="200"/>
        <w:rPr>
          <w:rFonts w:hint="eastAsia" w:ascii="宋体" w:hAnsi="宋体"/>
          <w:szCs w:val="21"/>
        </w:rPr>
      </w:pPr>
    </w:p>
    <w:p>
      <w:pPr>
        <w:snapToGrid w:val="0"/>
        <w:spacing w:line="300" w:lineRule="atLeast"/>
        <w:ind w:firstLine="420" w:firstLineChars="200"/>
        <w:rPr>
          <w:rFonts w:ascii="宋体" w:hAnsi="宋体"/>
          <w:szCs w:val="21"/>
        </w:rPr>
      </w:pPr>
      <w:r>
        <w:rPr>
          <w:rFonts w:hint="eastAsia" w:ascii="宋体" w:hAnsi="宋体"/>
          <w:szCs w:val="21"/>
        </w:rPr>
        <w:t>根据保险行业业务发展要求，制订本标准。</w:t>
      </w:r>
    </w:p>
    <w:p>
      <w:pPr>
        <w:snapToGrid w:val="0"/>
        <w:spacing w:line="300" w:lineRule="atLeast"/>
        <w:ind w:firstLine="420" w:firstLineChars="200"/>
        <w:rPr>
          <w:rFonts w:ascii="宋体" w:hAnsi="宋体"/>
          <w:szCs w:val="21"/>
        </w:rPr>
      </w:pPr>
      <w:r>
        <w:rPr>
          <w:rFonts w:hint="eastAsia" w:ascii="宋体" w:hAnsi="宋体"/>
          <w:szCs w:val="21"/>
        </w:rPr>
        <w:t>本标准制定过程中参照世界卫生组织《国际功能、残疾和健康分类》（以下简称“</w:t>
      </w:r>
      <w:r>
        <w:rPr>
          <w:rFonts w:ascii="宋体" w:hAnsi="宋体"/>
          <w:szCs w:val="21"/>
        </w:rPr>
        <w:t>ICF”）的理论与方法，建立新的残疾标准的理论架构、术语体系和分类方法。</w:t>
      </w:r>
    </w:p>
    <w:p>
      <w:pPr>
        <w:snapToGrid w:val="0"/>
        <w:spacing w:line="300" w:lineRule="atLeast"/>
        <w:ind w:firstLine="420" w:firstLineChars="200"/>
        <w:rPr>
          <w:rFonts w:ascii="宋体" w:hAnsi="宋体"/>
          <w:szCs w:val="21"/>
        </w:rPr>
      </w:pPr>
      <w:r>
        <w:rPr>
          <w:rFonts w:hint="eastAsia" w:ascii="宋体" w:hAnsi="宋体"/>
          <w:szCs w:val="21"/>
        </w:rPr>
        <w:t>本标准制定过程中参考了国内重要的伤残评定标准，如《劳动能力鉴定，职工工伤与职业病致残等级》、《道路交通事故受伤人员伤残评定》等，符合国内相关的残疾政策，同时参考了国际上其他国家地区的伤残分级原则和标准。</w:t>
      </w:r>
    </w:p>
    <w:p>
      <w:pPr>
        <w:snapToGrid w:val="0"/>
        <w:spacing w:line="300" w:lineRule="atLeast"/>
        <w:ind w:firstLine="420" w:firstLineChars="200"/>
        <w:rPr>
          <w:rFonts w:ascii="宋体" w:hAnsi="宋体"/>
          <w:szCs w:val="21"/>
        </w:rPr>
      </w:pPr>
      <w:r>
        <w:rPr>
          <w:rFonts w:hint="eastAsia" w:ascii="宋体" w:hAnsi="宋体"/>
          <w:szCs w:val="21"/>
        </w:rPr>
        <w:t>本标准建立了保险行业人身保险伤残评定和保险金给付比例的基础，各保险公司应根据自身的业务特点，根据本标准的方法、内容和结构，开发保险产品，提供保险服务。</w:t>
      </w:r>
    </w:p>
    <w:p>
      <w:pPr>
        <w:snapToGrid w:val="0"/>
        <w:spacing w:line="300" w:lineRule="atLeast"/>
        <w:ind w:firstLine="420" w:firstLineChars="200"/>
        <w:rPr>
          <w:rFonts w:ascii="宋体" w:hAnsi="宋体"/>
          <w:szCs w:val="21"/>
        </w:rPr>
      </w:pPr>
      <w:r>
        <w:rPr>
          <w:rFonts w:hint="eastAsia" w:ascii="宋体" w:hAnsi="宋体"/>
          <w:szCs w:val="21"/>
        </w:rPr>
        <w:t>本标准负责起草单位：中国保险行业协会。</w:t>
      </w:r>
    </w:p>
    <w:p>
      <w:pPr>
        <w:snapToGrid w:val="0"/>
        <w:spacing w:line="300" w:lineRule="atLeast"/>
        <w:ind w:firstLine="420" w:firstLineChars="200"/>
        <w:rPr>
          <w:rFonts w:ascii="宋体" w:hAnsi="宋体"/>
          <w:szCs w:val="21"/>
        </w:rPr>
      </w:pPr>
      <w:r>
        <w:rPr>
          <w:rFonts w:hint="eastAsia" w:ascii="宋体" w:hAnsi="宋体"/>
          <w:szCs w:val="21"/>
        </w:rPr>
        <w:t>本标准规定了人身保险伤残程度的评定等级以及保险金给付比例的原则和方法，人身保险伤残程度分为一至十级，保险金给付比例分为100%至10%。</w:t>
      </w:r>
    </w:p>
    <w:p>
      <w:pPr>
        <w:snapToGrid w:val="0"/>
        <w:spacing w:line="300" w:lineRule="atLeast"/>
        <w:ind w:firstLine="420" w:firstLineChars="200"/>
        <w:rPr>
          <w:rFonts w:ascii="宋体" w:hAnsi="宋体"/>
          <w:szCs w:val="21"/>
        </w:rPr>
      </w:pPr>
    </w:p>
    <w:p>
      <w:pPr>
        <w:snapToGrid w:val="0"/>
        <w:spacing w:line="300" w:lineRule="atLeast"/>
        <w:rPr>
          <w:rFonts w:ascii="宋体" w:hAnsi="宋体"/>
          <w:b/>
          <w:szCs w:val="21"/>
        </w:rPr>
      </w:pPr>
      <w:r>
        <w:rPr>
          <w:rFonts w:ascii="宋体" w:hAnsi="宋体"/>
          <w:b/>
          <w:szCs w:val="21"/>
        </w:rPr>
        <w:t xml:space="preserve">1 </w:t>
      </w:r>
      <w:r>
        <w:rPr>
          <w:rFonts w:hint="eastAsia" w:ascii="宋体" w:hAnsi="宋体"/>
          <w:b/>
          <w:szCs w:val="21"/>
        </w:rPr>
        <w:t>适用范围</w:t>
      </w:r>
    </w:p>
    <w:p>
      <w:pPr>
        <w:snapToGrid w:val="0"/>
        <w:spacing w:line="300" w:lineRule="atLeast"/>
        <w:ind w:firstLine="420" w:firstLineChars="200"/>
        <w:rPr>
          <w:rFonts w:ascii="宋体" w:hAnsi="宋体"/>
          <w:szCs w:val="21"/>
        </w:rPr>
      </w:pPr>
      <w:r>
        <w:rPr>
          <w:rFonts w:hint="eastAsia" w:ascii="宋体" w:hAnsi="宋体"/>
          <w:szCs w:val="21"/>
        </w:rPr>
        <w:t>本标准适用于意外险产品或包括意外责任的保险产品中的伤残保障，用于评定由于意外伤害因素引起的伤残程度。</w:t>
      </w:r>
    </w:p>
    <w:p>
      <w:pPr>
        <w:snapToGrid w:val="0"/>
        <w:spacing w:line="300" w:lineRule="atLeast"/>
        <w:rPr>
          <w:rFonts w:ascii="宋体" w:hAnsi="宋体"/>
          <w:b/>
          <w:szCs w:val="21"/>
        </w:rPr>
      </w:pPr>
      <w:r>
        <w:rPr>
          <w:rFonts w:ascii="宋体" w:hAnsi="宋体"/>
          <w:b/>
          <w:szCs w:val="21"/>
        </w:rPr>
        <w:t xml:space="preserve">2 </w:t>
      </w:r>
      <w:r>
        <w:rPr>
          <w:rFonts w:hint="eastAsia" w:ascii="宋体" w:hAnsi="宋体"/>
          <w:b/>
          <w:szCs w:val="21"/>
        </w:rPr>
        <w:t>术语和定义</w:t>
      </w:r>
    </w:p>
    <w:p>
      <w:pPr>
        <w:snapToGrid w:val="0"/>
        <w:spacing w:line="300" w:lineRule="atLeast"/>
        <w:ind w:firstLine="420" w:firstLineChars="200"/>
        <w:rPr>
          <w:rFonts w:ascii="宋体" w:hAnsi="宋体"/>
          <w:szCs w:val="21"/>
        </w:rPr>
      </w:pPr>
      <w:r>
        <w:rPr>
          <w:rFonts w:ascii="宋体" w:hAnsi="宋体"/>
          <w:szCs w:val="21"/>
        </w:rPr>
        <w:t>下列术语和定义适用于本标准。</w:t>
      </w:r>
    </w:p>
    <w:p>
      <w:pPr>
        <w:snapToGrid w:val="0"/>
        <w:spacing w:line="300" w:lineRule="atLeast"/>
        <w:ind w:firstLine="420" w:firstLineChars="200"/>
        <w:rPr>
          <w:rFonts w:ascii="宋体" w:hAnsi="宋体"/>
          <w:szCs w:val="21"/>
        </w:rPr>
      </w:pPr>
      <w:r>
        <w:rPr>
          <w:rFonts w:ascii="宋体" w:hAnsi="宋体"/>
          <w:szCs w:val="21"/>
        </w:rPr>
        <w:t xml:space="preserve">2.1 </w:t>
      </w:r>
      <w:r>
        <w:rPr>
          <w:rFonts w:hint="eastAsia" w:ascii="宋体" w:hAnsi="宋体"/>
          <w:szCs w:val="21"/>
        </w:rPr>
        <w:t>伤残：因意外伤害损伤所致的人体残疾。</w:t>
      </w:r>
    </w:p>
    <w:p>
      <w:pPr>
        <w:snapToGrid w:val="0"/>
        <w:spacing w:line="300" w:lineRule="atLeast"/>
        <w:ind w:firstLine="420" w:firstLineChars="200"/>
        <w:rPr>
          <w:rFonts w:ascii="宋体" w:hAnsi="宋体"/>
          <w:szCs w:val="21"/>
        </w:rPr>
      </w:pPr>
      <w:r>
        <w:rPr>
          <w:rFonts w:ascii="宋体" w:hAnsi="宋体"/>
          <w:szCs w:val="21"/>
        </w:rPr>
        <w:t>2.</w:t>
      </w:r>
      <w:r>
        <w:rPr>
          <w:rFonts w:hint="eastAsia" w:ascii="宋体" w:hAnsi="宋体"/>
          <w:szCs w:val="21"/>
        </w:rPr>
        <w:t>2</w:t>
      </w:r>
      <w:r>
        <w:rPr>
          <w:rFonts w:ascii="宋体" w:hAnsi="宋体"/>
          <w:szCs w:val="21"/>
        </w:rPr>
        <w:t xml:space="preserve"> </w:t>
      </w:r>
      <w:r>
        <w:rPr>
          <w:rFonts w:hint="eastAsia" w:ascii="宋体" w:hAnsi="宋体"/>
          <w:szCs w:val="21"/>
        </w:rPr>
        <w:t>身体结构：指身体的解剖部位，如器官、肢体及其组成部分。</w:t>
      </w:r>
    </w:p>
    <w:p>
      <w:pPr>
        <w:snapToGrid w:val="0"/>
        <w:spacing w:line="300" w:lineRule="atLeast"/>
        <w:ind w:firstLine="420" w:firstLineChars="200"/>
        <w:rPr>
          <w:rFonts w:ascii="宋体" w:hAnsi="宋体"/>
          <w:szCs w:val="21"/>
        </w:rPr>
      </w:pPr>
      <w:r>
        <w:rPr>
          <w:rFonts w:ascii="宋体" w:hAnsi="宋体"/>
          <w:szCs w:val="21"/>
        </w:rPr>
        <w:t>2.</w:t>
      </w:r>
      <w:r>
        <w:rPr>
          <w:rFonts w:hint="eastAsia" w:ascii="宋体" w:hAnsi="宋体"/>
          <w:szCs w:val="21"/>
        </w:rPr>
        <w:t>3</w:t>
      </w:r>
      <w:r>
        <w:rPr>
          <w:rFonts w:ascii="宋体" w:hAnsi="宋体"/>
          <w:szCs w:val="21"/>
        </w:rPr>
        <w:t xml:space="preserve"> </w:t>
      </w:r>
      <w:r>
        <w:rPr>
          <w:rFonts w:hint="eastAsia" w:ascii="宋体" w:hAnsi="宋体"/>
          <w:szCs w:val="21"/>
        </w:rPr>
        <w:t>身体功能：指身体各系统的生理功能。</w:t>
      </w:r>
    </w:p>
    <w:p>
      <w:pPr>
        <w:snapToGrid w:val="0"/>
        <w:spacing w:line="300" w:lineRule="atLeast"/>
        <w:rPr>
          <w:rFonts w:ascii="宋体" w:hAnsi="宋体"/>
          <w:b/>
          <w:szCs w:val="21"/>
        </w:rPr>
      </w:pPr>
      <w:r>
        <w:rPr>
          <w:rFonts w:ascii="宋体" w:hAnsi="宋体"/>
          <w:b/>
          <w:szCs w:val="21"/>
        </w:rPr>
        <w:t xml:space="preserve">3 </w:t>
      </w:r>
      <w:r>
        <w:rPr>
          <w:rFonts w:hint="eastAsia" w:ascii="宋体" w:hAnsi="宋体"/>
          <w:b/>
          <w:szCs w:val="21"/>
        </w:rPr>
        <w:t>标准的内容和结构</w:t>
      </w:r>
    </w:p>
    <w:p>
      <w:pPr>
        <w:snapToGrid w:val="0"/>
        <w:spacing w:line="300" w:lineRule="atLeast"/>
        <w:ind w:firstLine="420" w:firstLineChars="200"/>
        <w:rPr>
          <w:rFonts w:ascii="宋体" w:hAnsi="宋体"/>
          <w:szCs w:val="21"/>
        </w:rPr>
      </w:pPr>
      <w:r>
        <w:rPr>
          <w:rFonts w:hint="eastAsia" w:ascii="宋体" w:hAnsi="宋体"/>
          <w:szCs w:val="21"/>
        </w:rPr>
        <w:t>本标准参照</w:t>
      </w:r>
      <w:r>
        <w:rPr>
          <w:rFonts w:ascii="宋体" w:hAnsi="宋体"/>
          <w:szCs w:val="21"/>
        </w:rPr>
        <w:t>ICF有关功能和残疾的分类理论与方法，</w:t>
      </w:r>
      <w:r>
        <w:rPr>
          <w:rFonts w:hint="eastAsia" w:ascii="宋体" w:hAnsi="宋体"/>
          <w:szCs w:val="21"/>
        </w:rPr>
        <w:t>建立“神经系统的结构和精神功能”、“眼，耳和有关的结构和功能”、“发声和言语的结构和功能”、“心血管，免疫和呼吸系统的结构和功能”、“消化、代谢和内分泌系统有关的结构和功能”、“泌尿和生殖系统有关的结构和功能”、“神经肌肉骨骼和运动有关的结构和功能”和“皮肤和有关的结构和功能” 8大类，共281项人身保险伤残条目。</w:t>
      </w:r>
    </w:p>
    <w:p>
      <w:pPr>
        <w:snapToGrid w:val="0"/>
        <w:spacing w:line="300" w:lineRule="atLeast"/>
        <w:ind w:firstLine="420" w:firstLineChars="200"/>
        <w:rPr>
          <w:rFonts w:ascii="宋体" w:hAnsi="宋体"/>
          <w:szCs w:val="21"/>
        </w:rPr>
      </w:pPr>
      <w:r>
        <w:rPr>
          <w:rFonts w:hint="eastAsia" w:ascii="宋体" w:hAnsi="宋体"/>
          <w:szCs w:val="21"/>
        </w:rPr>
        <w:t>本标准对功能和残疾进行了分类和分级，将人身保险伤残程度划分为一至十级，最重为第一级</w:t>
      </w:r>
      <w:r>
        <w:rPr>
          <w:rFonts w:ascii="宋体" w:hAnsi="宋体"/>
          <w:szCs w:val="21"/>
        </w:rPr>
        <w:t>，最轻为第十级</w:t>
      </w:r>
      <w:r>
        <w:rPr>
          <w:rFonts w:hint="eastAsia" w:ascii="宋体" w:hAnsi="宋体"/>
          <w:szCs w:val="21"/>
        </w:rPr>
        <w:t>。</w:t>
      </w:r>
    </w:p>
    <w:p>
      <w:pPr>
        <w:snapToGrid w:val="0"/>
        <w:spacing w:line="300" w:lineRule="atLeast"/>
        <w:ind w:firstLine="420" w:firstLineChars="200"/>
        <w:rPr>
          <w:rFonts w:ascii="宋体" w:hAnsi="宋体"/>
          <w:szCs w:val="21"/>
        </w:rPr>
      </w:pPr>
      <w:r>
        <w:rPr>
          <w:rFonts w:hint="eastAsia" w:ascii="宋体" w:hAnsi="宋体"/>
          <w:szCs w:val="21"/>
        </w:rPr>
        <w:t>与人身保险伤残程度等级相对应的保险金给付比例分为十档，伤残程度第一级对应的保险金给付比例为100%，伤残程度第十级对应的保险金给付比例为10%，</w:t>
      </w:r>
      <w:r>
        <w:rPr>
          <w:rFonts w:ascii="宋体" w:hAnsi="宋体"/>
          <w:szCs w:val="21"/>
        </w:rPr>
        <w:t>每级相差10%。</w:t>
      </w:r>
    </w:p>
    <w:p>
      <w:pPr>
        <w:snapToGrid w:val="0"/>
        <w:spacing w:line="300" w:lineRule="atLeast"/>
        <w:rPr>
          <w:rFonts w:ascii="宋体" w:hAnsi="宋体"/>
          <w:b/>
          <w:szCs w:val="21"/>
        </w:rPr>
      </w:pPr>
      <w:r>
        <w:rPr>
          <w:rFonts w:ascii="宋体" w:hAnsi="宋体"/>
          <w:b/>
          <w:szCs w:val="21"/>
        </w:rPr>
        <w:t xml:space="preserve">4 </w:t>
      </w:r>
      <w:r>
        <w:rPr>
          <w:rFonts w:hint="eastAsia" w:ascii="宋体" w:hAnsi="宋体"/>
          <w:b/>
          <w:szCs w:val="21"/>
        </w:rPr>
        <w:t>伤残的评定原则</w:t>
      </w:r>
    </w:p>
    <w:p>
      <w:pPr>
        <w:snapToGrid w:val="0"/>
        <w:spacing w:line="300" w:lineRule="atLeast"/>
        <w:ind w:firstLine="420" w:firstLineChars="200"/>
        <w:rPr>
          <w:rFonts w:ascii="宋体" w:hAnsi="宋体"/>
          <w:szCs w:val="21"/>
        </w:rPr>
      </w:pPr>
      <w:r>
        <w:rPr>
          <w:rFonts w:hint="eastAsia" w:ascii="宋体" w:hAnsi="宋体"/>
          <w:szCs w:val="21"/>
        </w:rPr>
        <w:t>4.1 确定伤残类别：评定伤残时，应根据人体的身体结构与功能损伤情况确定所涉及的伤残类别。</w:t>
      </w:r>
    </w:p>
    <w:p>
      <w:pPr>
        <w:snapToGrid w:val="0"/>
        <w:spacing w:line="300" w:lineRule="atLeast"/>
        <w:ind w:firstLine="420" w:firstLineChars="200"/>
        <w:rPr>
          <w:rFonts w:ascii="宋体" w:hAnsi="宋体"/>
          <w:szCs w:val="21"/>
        </w:rPr>
      </w:pPr>
      <w:r>
        <w:rPr>
          <w:rFonts w:hint="eastAsia" w:ascii="宋体" w:hAnsi="宋体"/>
          <w:szCs w:val="21"/>
        </w:rPr>
        <w:t>4.2 确定伤残等级：应根据伤残情况，在同类别伤残下，确定伤残等级。</w:t>
      </w:r>
    </w:p>
    <w:p>
      <w:pPr>
        <w:snapToGrid w:val="0"/>
        <w:spacing w:line="300" w:lineRule="atLeast"/>
        <w:ind w:firstLine="420" w:firstLineChars="200"/>
        <w:rPr>
          <w:rFonts w:ascii="宋体" w:hAnsi="宋体"/>
          <w:szCs w:val="21"/>
        </w:rPr>
      </w:pPr>
      <w:r>
        <w:rPr>
          <w:rFonts w:hint="eastAsia" w:ascii="宋体" w:hAnsi="宋体"/>
          <w:szCs w:val="21"/>
        </w:rPr>
        <w:t>4.3 确定保险金给付比例：应根据伤残等级对应的百分比，确定保险金给付比例。</w:t>
      </w:r>
    </w:p>
    <w:p>
      <w:pPr>
        <w:snapToGrid w:val="0"/>
        <w:spacing w:line="300" w:lineRule="atLeast"/>
        <w:ind w:firstLine="420" w:firstLineChars="200"/>
        <w:rPr>
          <w:rFonts w:ascii="宋体" w:hAnsi="宋体"/>
          <w:szCs w:val="21"/>
        </w:rPr>
      </w:pPr>
      <w:r>
        <w:rPr>
          <w:rFonts w:ascii="宋体" w:hAnsi="宋体"/>
          <w:szCs w:val="21"/>
        </w:rPr>
        <w:t>4.</w:t>
      </w:r>
      <w:r>
        <w:rPr>
          <w:rFonts w:hint="eastAsia" w:ascii="宋体" w:hAnsi="宋体"/>
          <w:szCs w:val="21"/>
        </w:rPr>
        <w:t>4</w:t>
      </w:r>
      <w:r>
        <w:rPr>
          <w:rFonts w:ascii="宋体" w:hAnsi="宋体"/>
          <w:szCs w:val="21"/>
        </w:rPr>
        <w:t xml:space="preserve"> </w:t>
      </w:r>
      <w:r>
        <w:rPr>
          <w:rFonts w:hint="eastAsia" w:ascii="宋体" w:hAnsi="宋体"/>
          <w:szCs w:val="21"/>
        </w:rPr>
        <w:t>多处伤残的评定原则：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本标准条文两条以上或者同一条文两次以上进行评定。</w:t>
      </w:r>
    </w:p>
    <w:p>
      <w:pPr>
        <w:snapToGrid w:val="0"/>
        <w:spacing w:line="300" w:lineRule="atLeast"/>
        <w:rPr>
          <w:rFonts w:ascii="宋体" w:hAnsi="宋体"/>
          <w:b/>
          <w:szCs w:val="21"/>
        </w:rPr>
      </w:pPr>
      <w:r>
        <w:rPr>
          <w:rFonts w:ascii="宋体" w:hAnsi="宋体"/>
          <w:b/>
          <w:szCs w:val="21"/>
        </w:rPr>
        <w:t xml:space="preserve">5 </w:t>
      </w:r>
      <w:r>
        <w:rPr>
          <w:rFonts w:hint="eastAsia" w:ascii="宋体" w:hAnsi="宋体"/>
          <w:b/>
          <w:szCs w:val="21"/>
        </w:rPr>
        <w:t>说明</w:t>
      </w:r>
    </w:p>
    <w:p>
      <w:pPr>
        <w:snapToGrid w:val="0"/>
        <w:spacing w:line="300" w:lineRule="atLeast"/>
        <w:ind w:firstLine="420" w:firstLineChars="200"/>
        <w:rPr>
          <w:rFonts w:hint="eastAsia" w:ascii="宋体" w:hAnsi="宋体"/>
          <w:szCs w:val="21"/>
        </w:rPr>
      </w:pPr>
      <w:r>
        <w:rPr>
          <w:rFonts w:hint="eastAsia" w:ascii="宋体" w:hAnsi="宋体"/>
          <w:szCs w:val="21"/>
        </w:rPr>
        <w:t>本标准中“以上”均包括本数值或本部位。</w:t>
      </w:r>
    </w:p>
    <w:p>
      <w:pPr>
        <w:snapToGrid w:val="0"/>
        <w:spacing w:line="300" w:lineRule="atLeast"/>
        <w:ind w:firstLine="420" w:firstLineChars="200"/>
        <w:rPr>
          <w:rFonts w:hint="eastAsia" w:ascii="宋体" w:hAnsi="宋体"/>
          <w:szCs w:val="21"/>
        </w:rPr>
      </w:pPr>
    </w:p>
    <w:p>
      <w:pPr>
        <w:snapToGrid w:val="0"/>
        <w:spacing w:line="300" w:lineRule="atLeast"/>
        <w:ind w:firstLine="420" w:firstLineChars="200"/>
        <w:rPr>
          <w:rFonts w:hint="eastAsia" w:ascii="宋体" w:hAnsi="宋体"/>
          <w:szCs w:val="21"/>
        </w:rPr>
      </w:pPr>
    </w:p>
    <w:p>
      <w:pPr>
        <w:jc w:val="center"/>
        <w:rPr>
          <w:rFonts w:ascii="宋体" w:hAnsi="宋体"/>
          <w:b/>
          <w:szCs w:val="21"/>
        </w:rPr>
      </w:pPr>
      <w:r>
        <w:rPr>
          <w:rFonts w:hint="eastAsia" w:ascii="宋体" w:hAnsi="宋体"/>
          <w:b/>
          <w:szCs w:val="21"/>
        </w:rPr>
        <w:t>人身保险伤残评定标准（行业标准）</w:t>
      </w:r>
    </w:p>
    <w:p>
      <w:pPr>
        <w:widowControl/>
        <w:jc w:val="center"/>
        <w:rPr>
          <w:rFonts w:ascii="宋体" w:hAnsi="宋体"/>
          <w:kern w:val="0"/>
          <w:szCs w:val="21"/>
        </w:rPr>
      </w:pPr>
    </w:p>
    <w:p>
      <w:pPr>
        <w:rPr>
          <w:rFonts w:hint="eastAsia" w:ascii="宋体" w:hAnsi="宋体"/>
          <w:szCs w:val="21"/>
        </w:rPr>
      </w:pPr>
    </w:p>
    <w:p>
      <w:pPr>
        <w:rPr>
          <w:rFonts w:ascii="宋体" w:hAnsi="宋体"/>
          <w:szCs w:val="21"/>
        </w:rPr>
      </w:pPr>
      <w:r>
        <w:rPr>
          <w:rFonts w:hint="eastAsia" w:ascii="宋体" w:hAnsi="宋体"/>
          <w:szCs w:val="21"/>
        </w:rPr>
        <w:t>说明：本标准对功能和残疾进行了分类和分级，将人身保险伤残程度划分为一至十级，最重为第一级，最轻为第十级。与人身保险伤残程度等级相对应的保险金给付比例分为十档，伤残程度第一级对应的保险金给付比例为</w:t>
      </w:r>
      <w:r>
        <w:rPr>
          <w:rFonts w:ascii="宋体" w:hAnsi="宋体"/>
          <w:szCs w:val="21"/>
        </w:rPr>
        <w:t>100%，伤残程度第十级对应的保险金给付比例为10%，每级相差10%。</w:t>
      </w:r>
    </w:p>
    <w:p>
      <w:pPr>
        <w:widowControl/>
        <w:numPr>
          <w:ilvl w:val="0"/>
          <w:numId w:val="1"/>
        </w:numPr>
        <w:contextualSpacing/>
        <w:jc w:val="left"/>
        <w:outlineLvl w:val="1"/>
        <w:rPr>
          <w:rFonts w:ascii="宋体" w:hAnsi="宋体"/>
          <w:b/>
          <w:bCs/>
          <w:szCs w:val="21"/>
        </w:rPr>
      </w:pPr>
      <w:bookmarkStart w:id="2" w:name="_Toc356463463"/>
      <w:r>
        <w:rPr>
          <w:rFonts w:hint="eastAsia" w:ascii="宋体" w:hAnsi="宋体"/>
          <w:b/>
          <w:bCs/>
          <w:szCs w:val="21"/>
        </w:rPr>
        <w:t>神经系统的结构和精神功能</w:t>
      </w:r>
      <w:bookmarkEnd w:id="2"/>
    </w:p>
    <w:p>
      <w:pPr>
        <w:widowControl/>
        <w:numPr>
          <w:ilvl w:val="1"/>
          <w:numId w:val="1"/>
        </w:numPr>
        <w:ind w:left="0" w:firstLine="0"/>
        <w:contextualSpacing/>
        <w:jc w:val="left"/>
        <w:outlineLvl w:val="2"/>
        <w:rPr>
          <w:rFonts w:ascii="宋体" w:hAnsi="宋体"/>
          <w:b/>
          <w:bCs/>
          <w:szCs w:val="21"/>
        </w:rPr>
      </w:pPr>
      <w:bookmarkStart w:id="3" w:name="_Toc356463464"/>
      <w:r>
        <w:rPr>
          <w:rFonts w:hint="eastAsia" w:ascii="宋体" w:hAnsi="宋体"/>
          <w:b/>
          <w:bCs/>
          <w:szCs w:val="21"/>
        </w:rPr>
        <w:t>脑膜的结构损伤</w:t>
      </w:r>
      <w:bookmarkEnd w:id="3"/>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43" w:type="dxa"/>
            <w:vAlign w:val="center"/>
          </w:tcPr>
          <w:p>
            <w:pPr>
              <w:widowControl/>
              <w:contextualSpacing/>
              <w:rPr>
                <w:rFonts w:ascii="宋体" w:hAnsi="宋体" w:cs="宋体"/>
                <w:kern w:val="0"/>
                <w:szCs w:val="21"/>
              </w:rPr>
            </w:pPr>
            <w:r>
              <w:rPr>
                <w:rFonts w:hint="eastAsia" w:ascii="宋体" w:hAnsi="宋体" w:cs="宋体"/>
                <w:kern w:val="0"/>
                <w:szCs w:val="21"/>
              </w:rPr>
              <w:t>外伤性脑脊液鼻漏或耳漏</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4" w:name="_Toc356463465"/>
      <w:r>
        <w:rPr>
          <w:rFonts w:hint="eastAsia" w:ascii="宋体" w:hAnsi="宋体"/>
          <w:b/>
          <w:bCs/>
          <w:szCs w:val="21"/>
        </w:rPr>
        <w:t>脑的结构损伤，智力功能障碍</w:t>
      </w:r>
      <w:bookmarkEnd w:id="4"/>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43" w:type="dxa"/>
            <w:vAlign w:val="center"/>
          </w:tcPr>
          <w:p>
            <w:pPr>
              <w:widowControl/>
              <w:contextualSpacing/>
              <w:rPr>
                <w:rFonts w:ascii="宋体" w:hAnsi="宋体" w:cs="宋体"/>
                <w:kern w:val="0"/>
                <w:szCs w:val="21"/>
              </w:rPr>
            </w:pPr>
            <w:r>
              <w:rPr>
                <w:rFonts w:hint="eastAsia" w:ascii="宋体" w:hAnsi="宋体" w:cs="宋体"/>
                <w:kern w:val="0"/>
                <w:szCs w:val="21"/>
              </w:rPr>
              <w:t>颅脑损伤导致极度智力缺损（智商小于等于</w:t>
            </w:r>
            <w:r>
              <w:rPr>
                <w:rFonts w:ascii="宋体" w:hAnsi="宋体" w:cs="宋体"/>
                <w:kern w:val="0"/>
                <w:szCs w:val="21"/>
              </w:rPr>
              <w:t>20），日常生活完全不能自理，处于完全护理依赖状态</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43" w:type="dxa"/>
            <w:vAlign w:val="center"/>
          </w:tcPr>
          <w:p>
            <w:pPr>
              <w:widowControl/>
              <w:contextualSpacing/>
              <w:rPr>
                <w:rFonts w:ascii="宋体" w:hAnsi="宋体" w:cs="宋体"/>
                <w:kern w:val="0"/>
                <w:szCs w:val="21"/>
              </w:rPr>
            </w:pPr>
            <w:r>
              <w:rPr>
                <w:rFonts w:hint="eastAsia" w:ascii="宋体" w:hAnsi="宋体" w:cs="宋体"/>
                <w:kern w:val="0"/>
                <w:szCs w:val="21"/>
              </w:rPr>
              <w:t>颅脑损伤导致重度智力缺损（智商小于等于</w:t>
            </w:r>
            <w:r>
              <w:rPr>
                <w:rFonts w:ascii="宋体" w:hAnsi="宋体" w:cs="宋体"/>
                <w:kern w:val="0"/>
                <w:szCs w:val="21"/>
              </w:rPr>
              <w:t>34），日常生活需随时有人帮助才能完成，处于完全护理依赖状态</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43" w:type="dxa"/>
            <w:vAlign w:val="center"/>
          </w:tcPr>
          <w:p>
            <w:pPr>
              <w:widowControl/>
              <w:contextualSpacing/>
              <w:rPr>
                <w:rFonts w:ascii="宋体" w:hAnsi="宋体" w:cs="宋体"/>
                <w:kern w:val="0"/>
                <w:szCs w:val="21"/>
              </w:rPr>
            </w:pPr>
            <w:r>
              <w:rPr>
                <w:rFonts w:hint="eastAsia" w:ascii="宋体" w:hAnsi="宋体" w:cs="宋体"/>
                <w:kern w:val="0"/>
                <w:szCs w:val="21"/>
              </w:rPr>
              <w:t>颅脑损伤导致重度智力缺损（智商小于等于</w:t>
            </w:r>
            <w:r>
              <w:rPr>
                <w:rFonts w:ascii="宋体" w:hAnsi="宋体" w:cs="宋体"/>
                <w:kern w:val="0"/>
                <w:szCs w:val="21"/>
              </w:rPr>
              <w:t>34），不能完全独立生活，需经常有人监护，处于大部分护理依赖状态</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43" w:type="dxa"/>
            <w:vAlign w:val="center"/>
          </w:tcPr>
          <w:p>
            <w:pPr>
              <w:widowControl/>
              <w:contextualSpacing/>
              <w:rPr>
                <w:rFonts w:ascii="宋体" w:hAnsi="宋体" w:cs="宋体"/>
                <w:kern w:val="0"/>
                <w:szCs w:val="21"/>
              </w:rPr>
            </w:pPr>
            <w:r>
              <w:rPr>
                <w:rFonts w:hint="eastAsia" w:ascii="宋体" w:hAnsi="宋体" w:cs="宋体"/>
                <w:kern w:val="0"/>
                <w:szCs w:val="21"/>
              </w:rPr>
              <w:t>颅脑损伤导致中度智力缺损（智商小于等于</w:t>
            </w:r>
            <w:r>
              <w:rPr>
                <w:rFonts w:ascii="宋体" w:hAnsi="宋体" w:cs="宋体"/>
                <w:kern w:val="0"/>
                <w:szCs w:val="21"/>
              </w:rPr>
              <w:t>49），日常生活能力严重受限，间或需要帮助，处于大部分护理依赖状态</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bl>
    <w:p>
      <w:pPr>
        <w:widowControl/>
        <w:contextualSpacing/>
        <w:jc w:val="left"/>
        <w:rPr>
          <w:rFonts w:ascii="宋体" w:hAnsi="宋体"/>
          <w:kern w:val="0"/>
          <w:szCs w:val="21"/>
        </w:rPr>
      </w:pPr>
      <w:r>
        <w:rPr>
          <w:rFonts w:hint="eastAsia" w:ascii="宋体" w:hAnsi="宋体"/>
          <w:kern w:val="0"/>
          <w:szCs w:val="21"/>
        </w:rPr>
        <w:t>注：</w:t>
      </w:r>
      <w:r>
        <w:rPr>
          <w:rFonts w:ascii="宋体" w:hAnsi="宋体"/>
          <w:kern w:val="0"/>
          <w:szCs w:val="21"/>
        </w:rPr>
        <w:fldChar w:fldCharType="begin"/>
      </w:r>
      <w:r>
        <w:rPr>
          <w:rFonts w:ascii="宋体" w:hAnsi="宋体"/>
          <w:kern w:val="0"/>
          <w:szCs w:val="21"/>
        </w:rPr>
        <w:instrText xml:space="preserve"> eq \o\ac(○,1)</w:instrText>
      </w:r>
      <w:r>
        <w:rPr>
          <w:rFonts w:ascii="宋体" w:hAnsi="宋体"/>
          <w:kern w:val="0"/>
          <w:szCs w:val="21"/>
        </w:rPr>
        <w:fldChar w:fldCharType="end"/>
      </w:r>
      <w:r>
        <w:rPr>
          <w:rFonts w:hint="eastAsia" w:ascii="宋体" w:hAnsi="宋体"/>
          <w:kern w:val="0"/>
          <w:szCs w:val="21"/>
        </w:rPr>
        <w:t>护理依赖：应用“基本日常生活活动能力”的丧失程度来判断护理依赖程度。</w:t>
      </w:r>
    </w:p>
    <w:p>
      <w:pPr>
        <w:widowControl/>
        <w:ind w:left="8" w:leftChars="4" w:firstLine="413" w:firstLineChars="197"/>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eq \o\ac(○,2)</w:instrText>
      </w:r>
      <w:r>
        <w:rPr>
          <w:rFonts w:ascii="宋体" w:hAnsi="宋体"/>
          <w:kern w:val="0"/>
          <w:szCs w:val="21"/>
        </w:rPr>
        <w:fldChar w:fldCharType="end"/>
      </w:r>
      <w:r>
        <w:rPr>
          <w:rFonts w:hint="eastAsia" w:ascii="宋体" w:hAnsi="宋体"/>
          <w:kern w:val="0"/>
          <w:szCs w:val="21"/>
        </w:rPr>
        <w:t>基本日常生活活动是指：（1）</w:t>
      </w:r>
      <w:r>
        <w:rPr>
          <w:rFonts w:ascii="宋体" w:hAnsi="宋体"/>
          <w:kern w:val="0"/>
          <w:szCs w:val="21"/>
        </w:rPr>
        <w:t>穿衣：自己能够穿衣及脱衣；</w:t>
      </w:r>
      <w:r>
        <w:rPr>
          <w:rFonts w:hint="eastAsia" w:ascii="宋体" w:hAnsi="宋体"/>
          <w:kern w:val="0"/>
          <w:szCs w:val="21"/>
        </w:rPr>
        <w:t>（2）</w:t>
      </w:r>
      <w:r>
        <w:rPr>
          <w:rFonts w:ascii="宋体" w:hAnsi="宋体"/>
          <w:kern w:val="0"/>
          <w:szCs w:val="21"/>
        </w:rPr>
        <w:t>移动：自己从一个房间到另一个房间；</w:t>
      </w:r>
      <w:r>
        <w:rPr>
          <w:rFonts w:hint="eastAsia" w:ascii="宋体" w:hAnsi="宋体"/>
          <w:kern w:val="0"/>
          <w:szCs w:val="21"/>
        </w:rPr>
        <w:t>（3）</w:t>
      </w:r>
      <w:r>
        <w:rPr>
          <w:rFonts w:ascii="宋体" w:hAnsi="宋体"/>
          <w:kern w:val="0"/>
          <w:szCs w:val="21"/>
        </w:rPr>
        <w:t>行动：自己上下床或上下轮椅；</w:t>
      </w:r>
      <w:r>
        <w:rPr>
          <w:rFonts w:hint="eastAsia" w:ascii="宋体" w:hAnsi="宋体"/>
          <w:kern w:val="0"/>
          <w:szCs w:val="21"/>
        </w:rPr>
        <w:t>（4）</w:t>
      </w:r>
      <w:r>
        <w:rPr>
          <w:rFonts w:ascii="宋体" w:hAnsi="宋体"/>
          <w:kern w:val="0"/>
          <w:szCs w:val="21"/>
        </w:rPr>
        <w:t>如厕：自己控制进行大小便；</w:t>
      </w:r>
      <w:r>
        <w:rPr>
          <w:rFonts w:hint="eastAsia" w:ascii="宋体" w:hAnsi="宋体"/>
          <w:kern w:val="0"/>
          <w:szCs w:val="21"/>
        </w:rPr>
        <w:t>（5）</w:t>
      </w:r>
      <w:r>
        <w:rPr>
          <w:rFonts w:ascii="宋体" w:hAnsi="宋体"/>
          <w:kern w:val="0"/>
          <w:szCs w:val="21"/>
        </w:rPr>
        <w:t>进食：自己从已准备好的碗或碟中取食物放入口中；</w:t>
      </w:r>
      <w:r>
        <w:rPr>
          <w:rFonts w:hint="eastAsia" w:ascii="宋体" w:hAnsi="宋体"/>
          <w:kern w:val="0"/>
          <w:szCs w:val="21"/>
        </w:rPr>
        <w:t>（6）</w:t>
      </w:r>
      <w:r>
        <w:rPr>
          <w:rFonts w:ascii="宋体" w:hAnsi="宋体"/>
          <w:kern w:val="0"/>
          <w:szCs w:val="21"/>
        </w:rPr>
        <w:t>洗澡：自己进行淋浴或盆浴。</w:t>
      </w:r>
    </w:p>
    <w:p>
      <w:pPr>
        <w:widowControl/>
        <w:ind w:left="2" w:firstLine="369" w:firstLineChars="176"/>
        <w:contextualSpacing/>
        <w:jc w:val="left"/>
        <w:rPr>
          <w:rFonts w:ascii="宋体" w:hAnsi="宋体"/>
          <w:kern w:val="0"/>
          <w:szCs w:val="21"/>
        </w:rPr>
      </w:pPr>
      <w:r>
        <w:rPr>
          <w:rFonts w:hint="eastAsia" w:ascii="宋体" w:hAnsi="宋体"/>
          <w:kern w:val="0"/>
          <w:szCs w:val="21"/>
        </w:rPr>
        <w:t xml:space="preserve"> </w:t>
      </w:r>
      <w:r>
        <w:rPr>
          <w:rFonts w:ascii="宋体" w:hAnsi="宋体"/>
          <w:kern w:val="0"/>
          <w:szCs w:val="21"/>
        </w:rPr>
        <w:fldChar w:fldCharType="begin"/>
      </w:r>
      <w:r>
        <w:rPr>
          <w:rFonts w:ascii="宋体" w:hAnsi="宋体"/>
          <w:kern w:val="0"/>
          <w:szCs w:val="21"/>
        </w:rPr>
        <w:instrText xml:space="preserve"> eq \o\ac(○,3)</w:instrText>
      </w:r>
      <w:r>
        <w:rPr>
          <w:rFonts w:ascii="宋体" w:hAnsi="宋体"/>
          <w:kern w:val="0"/>
          <w:szCs w:val="21"/>
        </w:rPr>
        <w:fldChar w:fldCharType="end"/>
      </w:r>
      <w:r>
        <w:rPr>
          <w:rFonts w:hint="eastAsia" w:ascii="宋体" w:hAnsi="宋体"/>
          <w:kern w:val="0"/>
          <w:szCs w:val="21"/>
        </w:rPr>
        <w:t>护理依赖的程度分三级：（1）</w:t>
      </w:r>
      <w:r>
        <w:rPr>
          <w:rFonts w:ascii="宋体" w:hAnsi="宋体"/>
          <w:kern w:val="0"/>
          <w:szCs w:val="21"/>
        </w:rPr>
        <w:t>完全护理依赖指生活完全不能自理，上述六项基本日常生活活动均需护理者；</w:t>
      </w:r>
      <w:r>
        <w:rPr>
          <w:rFonts w:hint="eastAsia" w:ascii="宋体" w:hAnsi="宋体"/>
          <w:kern w:val="0"/>
          <w:szCs w:val="21"/>
        </w:rPr>
        <w:t>（2）</w:t>
      </w:r>
      <w:r>
        <w:rPr>
          <w:rFonts w:ascii="宋体" w:hAnsi="宋体"/>
          <w:kern w:val="0"/>
          <w:szCs w:val="21"/>
        </w:rPr>
        <w:t>大部分护理依赖指生活大部不能自理，上述六项基本日常生活活动中三项或三项以上需要护理者；</w:t>
      </w:r>
      <w:r>
        <w:rPr>
          <w:rFonts w:hint="eastAsia" w:ascii="宋体" w:hAnsi="宋体"/>
          <w:kern w:val="0"/>
          <w:szCs w:val="21"/>
        </w:rPr>
        <w:t>（3）</w:t>
      </w:r>
      <w:r>
        <w:rPr>
          <w:rFonts w:ascii="宋体" w:hAnsi="宋体"/>
          <w:kern w:val="0"/>
          <w:szCs w:val="21"/>
        </w:rPr>
        <w:t>部分护理依赖指部分生活不能自理，上述六项基本日常生活活动中一项或一项以上需要护理者。</w:t>
      </w:r>
    </w:p>
    <w:p>
      <w:pPr>
        <w:widowControl/>
        <w:numPr>
          <w:ilvl w:val="1"/>
          <w:numId w:val="1"/>
        </w:numPr>
        <w:ind w:left="0" w:firstLine="0"/>
        <w:contextualSpacing/>
        <w:jc w:val="left"/>
        <w:outlineLvl w:val="2"/>
        <w:rPr>
          <w:rFonts w:ascii="宋体" w:hAnsi="宋体"/>
          <w:b/>
          <w:bCs/>
          <w:szCs w:val="21"/>
        </w:rPr>
      </w:pPr>
      <w:bookmarkStart w:id="5" w:name="_Toc356463466"/>
      <w:r>
        <w:rPr>
          <w:rFonts w:hint="eastAsia" w:ascii="宋体" w:hAnsi="宋体"/>
          <w:b/>
          <w:bCs/>
          <w:szCs w:val="21"/>
        </w:rPr>
        <w:t>意识功能障碍</w:t>
      </w:r>
      <w:bookmarkEnd w:id="5"/>
    </w:p>
    <w:p>
      <w:pPr>
        <w:ind w:firstLine="420" w:firstLineChars="200"/>
        <w:rPr>
          <w:rFonts w:ascii="宋体" w:hAnsi="宋体"/>
          <w:szCs w:val="21"/>
        </w:rPr>
      </w:pPr>
      <w:r>
        <w:rPr>
          <w:rFonts w:hint="eastAsia" w:ascii="宋体" w:hAnsi="宋体"/>
          <w:szCs w:val="21"/>
        </w:rPr>
        <w:t>意识功能是指意识和警觉状态下的一般精神功能，包括清醒和持续的觉醒状态。本标准中的意识功能障碍是指颅脑损伤导致植物状态。</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颅脑损伤导致植物状态</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bl>
    <w:p>
      <w:pPr>
        <w:widowControl/>
        <w:contextualSpacing/>
        <w:jc w:val="left"/>
        <w:rPr>
          <w:rFonts w:ascii="宋体" w:hAnsi="宋体"/>
          <w:kern w:val="0"/>
          <w:szCs w:val="21"/>
        </w:rPr>
      </w:pPr>
      <w:r>
        <w:rPr>
          <w:rFonts w:hint="eastAsia" w:ascii="宋体" w:hAnsi="宋体"/>
          <w:kern w:val="0"/>
          <w:szCs w:val="21"/>
        </w:rPr>
        <w:t>注：植物状态指由于严重颅脑损伤造成认知功能丧失，无意识活动，不能执行命令，保持自主呼吸和血压，有睡眠</w:t>
      </w:r>
      <w:r>
        <w:rPr>
          <w:rFonts w:ascii="宋体" w:hAnsi="宋体"/>
          <w:kern w:val="0"/>
          <w:szCs w:val="21"/>
        </w:rPr>
        <w:t>-醒觉周期，不能理解和表达语言，能自动睁眼或刺激下睁眼，可有无目的性眼球跟踪运动，丘脑下部及脑干功能基本保存。</w:t>
      </w:r>
    </w:p>
    <w:p>
      <w:pPr>
        <w:widowControl/>
        <w:numPr>
          <w:ilvl w:val="0"/>
          <w:numId w:val="1"/>
        </w:numPr>
        <w:contextualSpacing/>
        <w:jc w:val="left"/>
        <w:outlineLvl w:val="1"/>
        <w:rPr>
          <w:rFonts w:ascii="宋体" w:hAnsi="宋体"/>
          <w:b/>
          <w:bCs/>
          <w:szCs w:val="21"/>
        </w:rPr>
      </w:pPr>
      <w:bookmarkStart w:id="6" w:name="_Toc356463467"/>
      <w:r>
        <w:rPr>
          <w:rFonts w:hint="eastAsia" w:ascii="宋体" w:hAnsi="宋体"/>
          <w:b/>
          <w:bCs/>
          <w:szCs w:val="21"/>
        </w:rPr>
        <w:t>眼，耳和有关的结构和功能</w:t>
      </w:r>
      <w:bookmarkEnd w:id="6"/>
    </w:p>
    <w:p>
      <w:pPr>
        <w:widowControl/>
        <w:numPr>
          <w:ilvl w:val="1"/>
          <w:numId w:val="1"/>
        </w:numPr>
        <w:ind w:left="0" w:firstLine="0"/>
        <w:contextualSpacing/>
        <w:jc w:val="left"/>
        <w:outlineLvl w:val="2"/>
        <w:rPr>
          <w:rFonts w:ascii="宋体" w:hAnsi="宋体"/>
          <w:b/>
          <w:bCs/>
          <w:szCs w:val="21"/>
        </w:rPr>
      </w:pPr>
      <w:bookmarkStart w:id="7" w:name="_Toc356463468"/>
      <w:r>
        <w:rPr>
          <w:rFonts w:hint="eastAsia" w:ascii="宋体" w:hAnsi="宋体"/>
          <w:b/>
          <w:bCs/>
          <w:szCs w:val="21"/>
        </w:rPr>
        <w:t>眼球损伤或视功能障碍</w:t>
      </w:r>
      <w:bookmarkEnd w:id="7"/>
    </w:p>
    <w:p>
      <w:pPr>
        <w:ind w:firstLine="420" w:firstLineChars="200"/>
        <w:rPr>
          <w:rFonts w:ascii="宋体" w:hAnsi="宋体"/>
          <w:szCs w:val="21"/>
          <w:lang w:val="en-GB"/>
        </w:rPr>
      </w:pPr>
      <w:r>
        <w:rPr>
          <w:rFonts w:hint="eastAsia" w:ascii="宋体" w:hAnsi="宋体"/>
          <w:szCs w:val="21"/>
          <w:lang w:val="en-GB"/>
        </w:rPr>
        <w:t>视功能是指与感受存在的光线和感受视觉刺激的形式、大小、形状和颜色等有关的感觉功能。本标准中的视功能障碍是指眼盲目或低视力。</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双侧眼球缺失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一侧眼球缺失，且另一侧眼盲目</w:t>
            </w:r>
            <w:r>
              <w:rPr>
                <w:rFonts w:ascii="宋体" w:hAnsi="宋体" w:cs="宋体"/>
                <w:kern w:val="0"/>
                <w:szCs w:val="21"/>
              </w:rPr>
              <w:t>5级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一侧眼球缺失，且另一侧眼盲目</w:t>
            </w:r>
            <w:r>
              <w:rPr>
                <w:rFonts w:ascii="宋体" w:hAnsi="宋体" w:cs="宋体"/>
                <w:kern w:val="0"/>
                <w:szCs w:val="21"/>
              </w:rPr>
              <w:t>4级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一侧眼球缺失，且另一侧眼盲目</w:t>
            </w:r>
            <w:r>
              <w:rPr>
                <w:rFonts w:ascii="宋体" w:hAnsi="宋体" w:cs="宋体"/>
                <w:kern w:val="0"/>
                <w:szCs w:val="21"/>
              </w:rPr>
              <w:t>3级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一侧眼球缺失，且另一侧眼低视力</w:t>
            </w:r>
            <w:r>
              <w:rPr>
                <w:rFonts w:ascii="宋体" w:hAnsi="宋体" w:cs="宋体"/>
                <w:kern w:val="0"/>
                <w:szCs w:val="21"/>
              </w:rPr>
              <w:t>2级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一侧眼球缺失，且另一侧眼低视力</w:t>
            </w:r>
            <w:r>
              <w:rPr>
                <w:rFonts w:ascii="宋体" w:hAnsi="宋体" w:cs="宋体"/>
                <w:kern w:val="0"/>
                <w:szCs w:val="21"/>
              </w:rPr>
              <w:t>1级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一侧眼球缺失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bl>
    <w:p>
      <w:pPr>
        <w:widowControl/>
        <w:numPr>
          <w:ilvl w:val="1"/>
          <w:numId w:val="1"/>
        </w:numPr>
        <w:ind w:left="0" w:firstLine="0"/>
        <w:contextualSpacing/>
        <w:jc w:val="left"/>
        <w:outlineLvl w:val="2"/>
        <w:rPr>
          <w:rFonts w:ascii="宋体" w:hAnsi="宋体"/>
          <w:b/>
          <w:bCs/>
          <w:szCs w:val="21"/>
        </w:rPr>
      </w:pPr>
      <w:bookmarkStart w:id="8" w:name="_Toc356463469"/>
      <w:r>
        <w:rPr>
          <w:rFonts w:hint="eastAsia" w:ascii="宋体" w:hAnsi="宋体"/>
          <w:b/>
          <w:bCs/>
          <w:szCs w:val="21"/>
        </w:rPr>
        <w:t>视功能障碍</w:t>
      </w:r>
      <w:bookmarkEnd w:id="8"/>
    </w:p>
    <w:p>
      <w:pPr>
        <w:ind w:firstLine="420" w:firstLineChars="200"/>
        <w:rPr>
          <w:rFonts w:ascii="宋体" w:hAnsi="宋体"/>
          <w:szCs w:val="21"/>
          <w:lang w:val="en-GB"/>
        </w:rPr>
      </w:pPr>
      <w:r>
        <w:rPr>
          <w:rFonts w:hint="eastAsia" w:ascii="宋体" w:hAnsi="宋体"/>
          <w:szCs w:val="21"/>
          <w:lang w:val="en-GB"/>
        </w:rPr>
        <w:t>除眼盲目和低视力外，本标准中的视功能障碍还包括视野缺损。</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双眼盲目</w:t>
            </w:r>
            <w:r>
              <w:rPr>
                <w:rFonts w:ascii="宋体" w:hAnsi="宋体" w:cs="宋体"/>
                <w:kern w:val="0"/>
                <w:szCs w:val="21"/>
              </w:rPr>
              <w:t>5级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5°</w:t>
            </w:r>
          </w:p>
        </w:tc>
        <w:tc>
          <w:tcPr>
            <w:tcW w:w="1289" w:type="dxa"/>
            <w:vAlign w:val="center"/>
          </w:tcPr>
          <w:p>
            <w:pPr>
              <w:widowControl/>
              <w:contextualSpacing/>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双眼盲目大于等于</w:t>
            </w:r>
            <w:r>
              <w:rPr>
                <w:rFonts w:ascii="宋体" w:hAnsi="宋体" w:cs="宋体"/>
                <w:kern w:val="0"/>
                <w:szCs w:val="21"/>
              </w:rPr>
              <w:t>4级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10°</w:t>
            </w:r>
          </w:p>
        </w:tc>
        <w:tc>
          <w:tcPr>
            <w:tcW w:w="1289" w:type="dxa"/>
            <w:vAlign w:val="center"/>
          </w:tcPr>
          <w:p>
            <w:pPr>
              <w:widowControl/>
              <w:contextualSpacing/>
              <w:jc w:val="center"/>
              <w:rPr>
                <w:rFonts w:ascii="宋体" w:hAnsi="宋体" w:cs="宋体"/>
                <w:kern w:val="0"/>
                <w:szCs w:val="21"/>
              </w:rPr>
            </w:pPr>
            <w:r>
              <w:rPr>
                <w:rFonts w:hint="eastAsia" w:ascii="宋体" w:hAnsi="宋体" w:cs="宋体"/>
                <w:kern w:val="0"/>
                <w:szCs w:val="21"/>
              </w:rPr>
              <w:t>3</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双眼盲目大于等于</w:t>
            </w:r>
            <w:r>
              <w:rPr>
                <w:rFonts w:ascii="宋体" w:hAnsi="宋体" w:cs="宋体"/>
                <w:kern w:val="0"/>
                <w:szCs w:val="21"/>
              </w:rPr>
              <w:t>3级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20°</w:t>
            </w:r>
          </w:p>
        </w:tc>
        <w:tc>
          <w:tcPr>
            <w:tcW w:w="1289" w:type="dxa"/>
            <w:vAlign w:val="center"/>
          </w:tcPr>
          <w:p>
            <w:pPr>
              <w:widowControl/>
              <w:contextualSpacing/>
              <w:jc w:val="center"/>
              <w:rPr>
                <w:rFonts w:ascii="宋体" w:hAnsi="宋体" w:cs="宋体"/>
                <w:kern w:val="0"/>
                <w:szCs w:val="21"/>
              </w:rPr>
            </w:pPr>
            <w:r>
              <w:rPr>
                <w:rFonts w:hint="eastAsia" w:ascii="宋体" w:hAnsi="宋体" w:cs="宋体"/>
                <w:kern w:val="0"/>
                <w:szCs w:val="21"/>
              </w:rPr>
              <w:t>4</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双眼低视力大于等于</w:t>
            </w:r>
            <w:r>
              <w:rPr>
                <w:rFonts w:ascii="宋体" w:hAnsi="宋体" w:cs="宋体"/>
                <w:kern w:val="0"/>
                <w:szCs w:val="21"/>
              </w:rPr>
              <w:t>2级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双眼低视力大于等于</w:t>
            </w:r>
            <w:r>
              <w:rPr>
                <w:rFonts w:ascii="宋体" w:hAnsi="宋体" w:cs="宋体"/>
                <w:kern w:val="0"/>
                <w:szCs w:val="21"/>
              </w:rPr>
              <w:t>1级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60°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一眼盲目</w:t>
            </w:r>
            <w:r>
              <w:rPr>
                <w:rFonts w:ascii="宋体" w:hAnsi="宋体" w:cs="宋体"/>
                <w:kern w:val="0"/>
                <w:szCs w:val="21"/>
              </w:rPr>
              <w:t>5级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5°</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一眼盲目大于等于</w:t>
            </w:r>
            <w:r>
              <w:rPr>
                <w:rFonts w:ascii="宋体" w:hAnsi="宋体" w:cs="宋体"/>
                <w:kern w:val="0"/>
                <w:szCs w:val="21"/>
              </w:rPr>
              <w:t>4级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10°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一眼盲目大于等于</w:t>
            </w:r>
            <w:r>
              <w:rPr>
                <w:rFonts w:ascii="宋体" w:hAnsi="宋体" w:cs="宋体"/>
                <w:kern w:val="0"/>
                <w:szCs w:val="21"/>
              </w:rPr>
              <w:t>3级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20°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一眼低视力大于等于</w:t>
            </w:r>
            <w:r>
              <w:rPr>
                <w:rFonts w:ascii="宋体" w:hAnsi="宋体" w:cs="宋体"/>
                <w:kern w:val="0"/>
                <w:szCs w:val="21"/>
              </w:rPr>
              <w:t>1级。</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60°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rPr>
      </w:pPr>
      <w:r>
        <w:rPr>
          <w:rFonts w:hint="eastAsia" w:ascii="宋体" w:hAnsi="宋体"/>
          <w:kern w:val="0"/>
          <w:szCs w:val="21"/>
          <w:lang w:val="en-GB"/>
        </w:rPr>
        <w:t>注：</w:t>
      </w:r>
      <w:r>
        <w:rPr>
          <w:rFonts w:ascii="宋体" w:hAnsi="宋体"/>
          <w:kern w:val="0"/>
          <w:szCs w:val="21"/>
          <w:lang w:val="en-GB"/>
        </w:rPr>
        <w:fldChar w:fldCharType="begin"/>
      </w:r>
      <w:r>
        <w:rPr>
          <w:rFonts w:ascii="宋体" w:hAnsi="宋体"/>
          <w:kern w:val="0"/>
          <w:szCs w:val="21"/>
          <w:lang w:val="en-GB"/>
        </w:rPr>
        <w:instrText xml:space="preserve"> = 1 \* GB3 </w:instrText>
      </w:r>
      <w:r>
        <w:rPr>
          <w:rFonts w:ascii="宋体" w:hAnsi="宋体"/>
          <w:kern w:val="0"/>
          <w:szCs w:val="21"/>
          <w:lang w:val="en-GB"/>
        </w:rPr>
        <w:fldChar w:fldCharType="separate"/>
      </w:r>
      <w:r>
        <w:rPr>
          <w:rFonts w:hint="eastAsia" w:ascii="宋体" w:hAnsi="宋体"/>
          <w:kern w:val="0"/>
          <w:szCs w:val="21"/>
          <w:lang w:val="en-GB"/>
        </w:rPr>
        <w:t>①</w:t>
      </w:r>
      <w:r>
        <w:rPr>
          <w:rFonts w:ascii="宋体" w:hAnsi="宋体"/>
          <w:kern w:val="0"/>
          <w:szCs w:val="21"/>
          <w:lang w:val="en-GB"/>
        </w:rPr>
        <w:fldChar w:fldCharType="end"/>
      </w:r>
      <w:r>
        <w:rPr>
          <w:rFonts w:hint="eastAsia" w:ascii="宋体" w:hAnsi="宋体"/>
          <w:kern w:val="0"/>
          <w:szCs w:val="21"/>
        </w:rPr>
        <w:t>视力和视野</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915"/>
        <w:gridCol w:w="3235"/>
        <w:gridCol w:w="3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2262" w:type="dxa"/>
            <w:gridSpan w:val="2"/>
            <w:vMerge w:val="restart"/>
            <w:vAlign w:val="center"/>
          </w:tcPr>
          <w:p>
            <w:pPr>
              <w:widowControl/>
              <w:contextualSpacing/>
              <w:jc w:val="center"/>
              <w:rPr>
                <w:rFonts w:ascii="宋体" w:hAnsi="宋体" w:cs="宋体"/>
                <w:kern w:val="0"/>
                <w:szCs w:val="21"/>
              </w:rPr>
            </w:pPr>
            <w:r>
              <w:rPr>
                <w:rFonts w:hint="eastAsia" w:ascii="宋体" w:hAnsi="宋体" w:cs="宋体"/>
                <w:kern w:val="0"/>
                <w:szCs w:val="21"/>
              </w:rPr>
              <w:t>级别</w:t>
            </w:r>
          </w:p>
        </w:tc>
        <w:tc>
          <w:tcPr>
            <w:tcW w:w="6470" w:type="dxa"/>
            <w:gridSpan w:val="2"/>
            <w:vAlign w:val="top"/>
          </w:tcPr>
          <w:p>
            <w:pPr>
              <w:widowControl/>
              <w:contextualSpacing/>
              <w:jc w:val="center"/>
              <w:rPr>
                <w:rFonts w:ascii="宋体" w:hAnsi="宋体" w:cs="宋体"/>
                <w:kern w:val="0"/>
                <w:szCs w:val="21"/>
              </w:rPr>
            </w:pPr>
            <w:r>
              <w:rPr>
                <w:rFonts w:hint="eastAsia" w:ascii="宋体" w:hAnsi="宋体" w:cs="宋体"/>
                <w:kern w:val="0"/>
                <w:szCs w:val="21"/>
              </w:rPr>
              <w:t>低视力及盲目分级标准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2262" w:type="dxa"/>
            <w:gridSpan w:val="2"/>
            <w:vMerge w:val="continue"/>
            <w:vAlign w:val="top"/>
          </w:tcPr>
          <w:p>
            <w:pPr>
              <w:widowControl/>
              <w:contextualSpacing/>
              <w:jc w:val="center"/>
              <w:rPr>
                <w:rFonts w:ascii="宋体" w:hAnsi="宋体" w:cs="宋体"/>
                <w:kern w:val="0"/>
                <w:szCs w:val="21"/>
              </w:rPr>
            </w:pPr>
          </w:p>
        </w:tc>
        <w:tc>
          <w:tcPr>
            <w:tcW w:w="6470" w:type="dxa"/>
            <w:gridSpan w:val="2"/>
            <w:vAlign w:val="top"/>
          </w:tcPr>
          <w:p>
            <w:pPr>
              <w:widowControl/>
              <w:contextualSpacing/>
              <w:jc w:val="center"/>
              <w:rPr>
                <w:rFonts w:ascii="宋体" w:hAnsi="宋体" w:cs="宋体"/>
                <w:kern w:val="0"/>
                <w:szCs w:val="21"/>
              </w:rPr>
            </w:pPr>
            <w:r>
              <w:rPr>
                <w:rFonts w:hint="eastAsia" w:ascii="宋体" w:hAnsi="宋体" w:cs="宋体"/>
                <w:kern w:val="0"/>
                <w:szCs w:val="21"/>
              </w:rPr>
              <w:t>最好矫正视力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2262" w:type="dxa"/>
            <w:gridSpan w:val="2"/>
            <w:vMerge w:val="continue"/>
            <w:vAlign w:val="top"/>
          </w:tcPr>
          <w:p>
            <w:pPr>
              <w:widowControl/>
              <w:contextualSpacing/>
              <w:jc w:val="center"/>
              <w:rPr>
                <w:rFonts w:ascii="宋体" w:hAnsi="宋体" w:cs="宋体"/>
                <w:kern w:val="0"/>
                <w:szCs w:val="21"/>
              </w:rPr>
            </w:pPr>
          </w:p>
        </w:tc>
        <w:tc>
          <w:tcPr>
            <w:tcW w:w="3235" w:type="dxa"/>
            <w:vAlign w:val="top"/>
          </w:tcPr>
          <w:p>
            <w:pPr>
              <w:widowControl/>
              <w:contextualSpacing/>
              <w:jc w:val="center"/>
              <w:rPr>
                <w:rFonts w:ascii="宋体" w:hAnsi="宋体" w:cs="宋体"/>
                <w:kern w:val="0"/>
                <w:szCs w:val="21"/>
              </w:rPr>
            </w:pPr>
            <w:r>
              <w:rPr>
                <w:rFonts w:hint="eastAsia" w:ascii="宋体" w:hAnsi="宋体" w:cs="宋体"/>
                <w:kern w:val="0"/>
                <w:szCs w:val="21"/>
              </w:rPr>
              <w:t>最好矫正视力低于</w:t>
            </w:r>
          </w:p>
        </w:tc>
        <w:tc>
          <w:tcPr>
            <w:tcW w:w="3235" w:type="dxa"/>
            <w:vAlign w:val="top"/>
          </w:tcPr>
          <w:p>
            <w:pPr>
              <w:widowControl/>
              <w:contextualSpacing/>
              <w:jc w:val="center"/>
              <w:rPr>
                <w:rFonts w:ascii="宋体" w:hAnsi="宋体" w:cs="宋体"/>
                <w:kern w:val="0"/>
                <w:szCs w:val="21"/>
              </w:rPr>
            </w:pPr>
            <w:r>
              <w:rPr>
                <w:rFonts w:hint="eastAsia" w:ascii="宋体" w:hAnsi="宋体" w:cs="宋体"/>
                <w:kern w:val="0"/>
                <w:szCs w:val="21"/>
              </w:rPr>
              <w:t>最低矫正视力等于或优于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1347" w:type="dxa"/>
            <w:vMerge w:val="restart"/>
            <w:vAlign w:val="center"/>
          </w:tcPr>
          <w:p>
            <w:pPr>
              <w:widowControl/>
              <w:contextualSpacing/>
              <w:jc w:val="center"/>
              <w:rPr>
                <w:rFonts w:ascii="宋体" w:hAnsi="宋体" w:cs="宋体"/>
                <w:kern w:val="0"/>
                <w:szCs w:val="21"/>
              </w:rPr>
            </w:pPr>
            <w:r>
              <w:rPr>
                <w:rFonts w:hint="eastAsia" w:ascii="宋体" w:hAnsi="宋体" w:cs="宋体"/>
                <w:kern w:val="0"/>
                <w:szCs w:val="21"/>
              </w:rPr>
              <w:t>低视力</w:t>
            </w:r>
          </w:p>
        </w:tc>
        <w:tc>
          <w:tcPr>
            <w:tcW w:w="915" w:type="dxa"/>
            <w:vAlign w:val="top"/>
          </w:tcPr>
          <w:p>
            <w:pPr>
              <w:widowControl/>
              <w:contextualSpacing/>
              <w:jc w:val="center"/>
              <w:rPr>
                <w:rFonts w:ascii="宋体" w:hAnsi="宋体" w:cs="宋体"/>
                <w:kern w:val="0"/>
                <w:szCs w:val="21"/>
              </w:rPr>
            </w:pPr>
            <w:r>
              <w:rPr>
                <w:rFonts w:ascii="宋体" w:hAnsi="宋体" w:cs="宋体"/>
                <w:kern w:val="0"/>
                <w:szCs w:val="21"/>
              </w:rPr>
              <w:t>1</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0.3</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1347" w:type="dxa"/>
            <w:vMerge w:val="continue"/>
            <w:vAlign w:val="top"/>
          </w:tcPr>
          <w:p>
            <w:pPr>
              <w:widowControl/>
              <w:contextualSpacing/>
              <w:jc w:val="center"/>
              <w:rPr>
                <w:rFonts w:ascii="宋体" w:hAnsi="宋体" w:cs="宋体"/>
                <w:kern w:val="0"/>
                <w:szCs w:val="21"/>
              </w:rPr>
            </w:pPr>
          </w:p>
        </w:tc>
        <w:tc>
          <w:tcPr>
            <w:tcW w:w="915" w:type="dxa"/>
            <w:vAlign w:val="top"/>
          </w:tcPr>
          <w:p>
            <w:pPr>
              <w:widowControl/>
              <w:contextualSpacing/>
              <w:jc w:val="center"/>
              <w:rPr>
                <w:rFonts w:ascii="宋体" w:hAnsi="宋体" w:cs="宋体"/>
                <w:kern w:val="0"/>
                <w:szCs w:val="21"/>
              </w:rPr>
            </w:pPr>
            <w:r>
              <w:rPr>
                <w:rFonts w:ascii="宋体" w:hAnsi="宋体" w:cs="宋体"/>
                <w:kern w:val="0"/>
                <w:szCs w:val="21"/>
              </w:rPr>
              <w:t>2</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0.1</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0.05（三米指数）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1347" w:type="dxa"/>
            <w:vMerge w:val="restart"/>
            <w:vAlign w:val="center"/>
          </w:tcPr>
          <w:p>
            <w:pPr>
              <w:widowControl/>
              <w:contextualSpacing/>
              <w:jc w:val="center"/>
              <w:rPr>
                <w:rFonts w:ascii="宋体" w:hAnsi="宋体" w:cs="宋体"/>
                <w:kern w:val="0"/>
                <w:szCs w:val="21"/>
              </w:rPr>
            </w:pPr>
            <w:r>
              <w:rPr>
                <w:rFonts w:hint="eastAsia" w:ascii="宋体" w:hAnsi="宋体" w:cs="宋体"/>
                <w:kern w:val="0"/>
                <w:szCs w:val="21"/>
              </w:rPr>
              <w:t>盲目</w:t>
            </w:r>
          </w:p>
        </w:tc>
        <w:tc>
          <w:tcPr>
            <w:tcW w:w="915" w:type="dxa"/>
            <w:vAlign w:val="top"/>
          </w:tcPr>
          <w:p>
            <w:pPr>
              <w:widowControl/>
              <w:contextualSpacing/>
              <w:jc w:val="center"/>
              <w:rPr>
                <w:rFonts w:ascii="宋体" w:hAnsi="宋体" w:cs="宋体"/>
                <w:kern w:val="0"/>
                <w:szCs w:val="21"/>
              </w:rPr>
            </w:pPr>
            <w:r>
              <w:rPr>
                <w:rFonts w:ascii="宋体" w:hAnsi="宋体" w:cs="宋体"/>
                <w:kern w:val="0"/>
                <w:szCs w:val="21"/>
              </w:rPr>
              <w:t>3</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0.05</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0.02（一米指数）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1347" w:type="dxa"/>
            <w:vMerge w:val="continue"/>
            <w:vAlign w:val="top"/>
          </w:tcPr>
          <w:p>
            <w:pPr>
              <w:widowControl/>
              <w:contextualSpacing/>
              <w:jc w:val="center"/>
              <w:rPr>
                <w:rFonts w:ascii="宋体" w:hAnsi="宋体" w:cs="宋体"/>
                <w:kern w:val="0"/>
                <w:szCs w:val="21"/>
              </w:rPr>
            </w:pPr>
          </w:p>
        </w:tc>
        <w:tc>
          <w:tcPr>
            <w:tcW w:w="915" w:type="dxa"/>
            <w:vAlign w:val="top"/>
          </w:tcPr>
          <w:p>
            <w:pPr>
              <w:widowControl/>
              <w:contextualSpacing/>
              <w:jc w:val="center"/>
              <w:rPr>
                <w:rFonts w:ascii="宋体" w:hAnsi="宋体" w:cs="宋体"/>
                <w:kern w:val="0"/>
                <w:szCs w:val="21"/>
              </w:rPr>
            </w:pPr>
            <w:r>
              <w:rPr>
                <w:rFonts w:ascii="宋体" w:hAnsi="宋体" w:cs="宋体"/>
                <w:kern w:val="0"/>
                <w:szCs w:val="21"/>
              </w:rPr>
              <w:t>4</w:t>
            </w:r>
          </w:p>
        </w:tc>
        <w:tc>
          <w:tcPr>
            <w:tcW w:w="3235" w:type="dxa"/>
            <w:vAlign w:val="top"/>
          </w:tcPr>
          <w:p>
            <w:pPr>
              <w:widowControl/>
              <w:contextualSpacing/>
              <w:jc w:val="center"/>
              <w:rPr>
                <w:rFonts w:ascii="宋体" w:hAnsi="宋体" w:cs="宋体"/>
                <w:kern w:val="0"/>
                <w:szCs w:val="21"/>
              </w:rPr>
            </w:pPr>
            <w:r>
              <w:rPr>
                <w:rFonts w:ascii="宋体" w:hAnsi="宋体" w:cs="宋体"/>
                <w:kern w:val="0"/>
                <w:szCs w:val="21"/>
              </w:rPr>
              <w:t>0.02</w:t>
            </w:r>
          </w:p>
        </w:tc>
        <w:tc>
          <w:tcPr>
            <w:tcW w:w="3235" w:type="dxa"/>
            <w:vAlign w:val="top"/>
          </w:tcPr>
          <w:p>
            <w:pPr>
              <w:widowControl/>
              <w:contextualSpacing/>
              <w:jc w:val="center"/>
              <w:rPr>
                <w:rFonts w:ascii="宋体" w:hAnsi="宋体" w:cs="宋体"/>
                <w:kern w:val="0"/>
                <w:szCs w:val="21"/>
              </w:rPr>
            </w:pPr>
            <w:r>
              <w:rPr>
                <w:rFonts w:hint="eastAsia" w:ascii="宋体" w:hAnsi="宋体" w:cs="宋体"/>
                <w:kern w:val="0"/>
                <w:szCs w:val="21"/>
              </w:rPr>
              <w:t>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1347" w:type="dxa"/>
            <w:vMerge w:val="continue"/>
            <w:vAlign w:val="top"/>
          </w:tcPr>
          <w:p>
            <w:pPr>
              <w:widowControl/>
              <w:contextualSpacing/>
              <w:jc w:val="center"/>
              <w:rPr>
                <w:rFonts w:ascii="宋体" w:hAnsi="宋体" w:cs="宋体"/>
                <w:kern w:val="0"/>
                <w:szCs w:val="21"/>
              </w:rPr>
            </w:pPr>
          </w:p>
        </w:tc>
        <w:tc>
          <w:tcPr>
            <w:tcW w:w="915" w:type="dxa"/>
            <w:vAlign w:val="top"/>
          </w:tcPr>
          <w:p>
            <w:pPr>
              <w:widowControl/>
              <w:contextualSpacing/>
              <w:jc w:val="center"/>
              <w:rPr>
                <w:rFonts w:ascii="宋体" w:hAnsi="宋体" w:cs="宋体"/>
                <w:kern w:val="0"/>
                <w:szCs w:val="21"/>
              </w:rPr>
            </w:pPr>
            <w:r>
              <w:rPr>
                <w:rFonts w:ascii="宋体" w:hAnsi="宋体" w:cs="宋体"/>
                <w:kern w:val="0"/>
                <w:szCs w:val="21"/>
              </w:rPr>
              <w:t>5</w:t>
            </w:r>
          </w:p>
        </w:tc>
        <w:tc>
          <w:tcPr>
            <w:tcW w:w="6470" w:type="dxa"/>
            <w:gridSpan w:val="2"/>
            <w:vAlign w:val="top"/>
          </w:tcPr>
          <w:p>
            <w:pPr>
              <w:widowControl/>
              <w:contextualSpacing/>
              <w:jc w:val="center"/>
              <w:rPr>
                <w:rFonts w:ascii="宋体" w:hAnsi="宋体" w:cs="宋体"/>
                <w:kern w:val="0"/>
                <w:szCs w:val="21"/>
              </w:rPr>
            </w:pPr>
            <w:r>
              <w:rPr>
                <w:rFonts w:hint="eastAsia" w:ascii="宋体" w:hAnsi="宋体" w:cs="宋体"/>
                <w:kern w:val="0"/>
                <w:szCs w:val="21"/>
              </w:rPr>
              <w:t>无光感</w:t>
            </w:r>
          </w:p>
        </w:tc>
      </w:tr>
    </w:tbl>
    <w:p>
      <w:pPr>
        <w:widowControl/>
        <w:ind w:firstLine="420" w:firstLineChars="200"/>
        <w:contextualSpacing/>
        <w:jc w:val="left"/>
        <w:rPr>
          <w:rFonts w:ascii="宋体" w:hAnsi="宋体"/>
          <w:kern w:val="0"/>
          <w:szCs w:val="21"/>
        </w:rPr>
      </w:pPr>
      <w:r>
        <w:rPr>
          <w:rFonts w:hint="eastAsia" w:ascii="宋体" w:hAnsi="宋体"/>
          <w:kern w:val="0"/>
          <w:szCs w:val="21"/>
        </w:rPr>
        <w:t>如果中心视力好而视野缩小，以中央注视点为中心，视野直径小于</w:t>
      </w:r>
      <w:r>
        <w:rPr>
          <w:rFonts w:ascii="宋体" w:hAnsi="宋体"/>
          <w:kern w:val="0"/>
          <w:szCs w:val="21"/>
        </w:rPr>
        <w:t>20°而大于10°者为</w:t>
      </w:r>
      <w:r>
        <w:rPr>
          <w:rFonts w:hint="eastAsia" w:ascii="宋体" w:hAnsi="宋体"/>
          <w:kern w:val="0"/>
          <w:szCs w:val="21"/>
        </w:rPr>
        <w:t>盲目</w:t>
      </w:r>
      <w:r>
        <w:rPr>
          <w:rFonts w:ascii="宋体" w:hAnsi="宋体"/>
          <w:kern w:val="0"/>
          <w:szCs w:val="21"/>
        </w:rPr>
        <w:t>3级；如直径小于10°者为</w:t>
      </w:r>
      <w:r>
        <w:rPr>
          <w:rFonts w:hint="eastAsia" w:ascii="宋体" w:hAnsi="宋体"/>
          <w:kern w:val="0"/>
          <w:szCs w:val="21"/>
        </w:rPr>
        <w:t>盲目</w:t>
      </w:r>
      <w:r>
        <w:rPr>
          <w:rFonts w:ascii="宋体" w:hAnsi="宋体"/>
          <w:kern w:val="0"/>
          <w:szCs w:val="21"/>
        </w:rPr>
        <w:t>4级。</w:t>
      </w:r>
    </w:p>
    <w:p>
      <w:pPr>
        <w:widowControl/>
        <w:ind w:firstLine="360"/>
        <w:contextualSpacing/>
        <w:jc w:val="left"/>
        <w:rPr>
          <w:rFonts w:ascii="宋体" w:hAnsi="宋体"/>
          <w:kern w:val="0"/>
          <w:szCs w:val="21"/>
        </w:rPr>
      </w:pPr>
      <w:r>
        <w:rPr>
          <w:rFonts w:hint="eastAsia" w:ascii="宋体" w:hAnsi="宋体"/>
          <w:kern w:val="0"/>
          <w:szCs w:val="21"/>
        </w:rPr>
        <w:t>本标准视力以矫正视力为准，经治疗而无法恢复者。</w:t>
      </w:r>
    </w:p>
    <w:p>
      <w:pPr>
        <w:widowControl/>
        <w:ind w:firstLine="420" w:firstLineChars="20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eq \o\ac(○,2)</w:instrText>
      </w:r>
      <w:r>
        <w:rPr>
          <w:rFonts w:ascii="宋体" w:hAnsi="宋体"/>
          <w:kern w:val="0"/>
          <w:szCs w:val="21"/>
        </w:rPr>
        <w:fldChar w:fldCharType="end"/>
      </w:r>
      <w:r>
        <w:rPr>
          <w:rFonts w:hint="eastAsia" w:ascii="宋体" w:hAnsi="宋体"/>
          <w:kern w:val="0"/>
          <w:szCs w:val="21"/>
        </w:rPr>
        <w:t>视野缺损指因损伤导致眼球注视前方而不转动所能看到的空间范围缩窄，以致难以从事正常工作、学习或其他活动。</w:t>
      </w:r>
    </w:p>
    <w:p>
      <w:pPr>
        <w:widowControl/>
        <w:numPr>
          <w:ilvl w:val="1"/>
          <w:numId w:val="1"/>
        </w:numPr>
        <w:ind w:left="0" w:firstLine="0"/>
        <w:contextualSpacing/>
        <w:jc w:val="left"/>
        <w:outlineLvl w:val="2"/>
        <w:rPr>
          <w:rFonts w:ascii="宋体" w:hAnsi="宋体"/>
          <w:b/>
          <w:bCs/>
          <w:szCs w:val="21"/>
        </w:rPr>
      </w:pPr>
      <w:bookmarkStart w:id="9" w:name="_Toc356463470"/>
      <w:r>
        <w:rPr>
          <w:rFonts w:hint="eastAsia" w:ascii="宋体" w:hAnsi="宋体"/>
          <w:b/>
          <w:bCs/>
          <w:szCs w:val="21"/>
        </w:rPr>
        <w:t>眼球的晶状体结构损伤</w:t>
      </w:r>
      <w:bookmarkEnd w:id="9"/>
      <w:r>
        <w:rPr>
          <w:rFonts w:ascii="宋体" w:hAnsi="宋体"/>
          <w:b/>
          <w:bCs/>
          <w:szCs w:val="21"/>
        </w:rPr>
        <w:t xml:space="preserve">  </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5"/>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5" w:type="dxa"/>
            <w:vAlign w:val="center"/>
          </w:tcPr>
          <w:p>
            <w:pPr>
              <w:widowControl/>
              <w:contextualSpacing/>
              <w:jc w:val="left"/>
              <w:rPr>
                <w:rFonts w:ascii="宋体" w:hAnsi="宋体" w:cs="宋体"/>
                <w:kern w:val="0"/>
                <w:szCs w:val="21"/>
              </w:rPr>
            </w:pPr>
            <w:r>
              <w:rPr>
                <w:rFonts w:hint="eastAsia" w:ascii="宋体" w:hAnsi="宋体" w:cs="宋体"/>
                <w:kern w:val="0"/>
                <w:szCs w:val="21"/>
              </w:rPr>
              <w:t>外伤性白内障</w:t>
            </w:r>
          </w:p>
        </w:tc>
        <w:tc>
          <w:tcPr>
            <w:tcW w:w="1327"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rPr>
      </w:pPr>
      <w:r>
        <w:rPr>
          <w:rFonts w:hint="eastAsia" w:ascii="宋体" w:hAnsi="宋体"/>
          <w:kern w:val="0"/>
          <w:szCs w:val="21"/>
        </w:rPr>
        <w:t>注：外伤性白内障：凡未做手术者，均适用本条；外伤性白内障术后遗留相关视功能障碍，参照有关条款评定伤残等级。</w:t>
      </w:r>
    </w:p>
    <w:p>
      <w:pPr>
        <w:widowControl/>
        <w:numPr>
          <w:ilvl w:val="1"/>
          <w:numId w:val="1"/>
        </w:numPr>
        <w:ind w:left="0" w:firstLine="0"/>
        <w:contextualSpacing/>
        <w:jc w:val="left"/>
        <w:outlineLvl w:val="2"/>
        <w:rPr>
          <w:rFonts w:ascii="宋体" w:hAnsi="宋体"/>
          <w:b/>
          <w:bCs/>
          <w:szCs w:val="21"/>
        </w:rPr>
      </w:pPr>
      <w:bookmarkStart w:id="10" w:name="_Toc356463471"/>
      <w:r>
        <w:rPr>
          <w:rFonts w:hint="eastAsia" w:ascii="宋体" w:hAnsi="宋体"/>
          <w:b/>
          <w:bCs/>
          <w:szCs w:val="21"/>
        </w:rPr>
        <w:t>眼睑结构损伤</w:t>
      </w:r>
      <w:bookmarkEnd w:id="10"/>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2"/>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7402" w:type="dxa"/>
            <w:vAlign w:val="center"/>
          </w:tcPr>
          <w:p>
            <w:pPr>
              <w:widowControl/>
              <w:contextualSpacing/>
              <w:jc w:val="left"/>
              <w:rPr>
                <w:rFonts w:ascii="宋体" w:hAnsi="宋体" w:cs="宋体"/>
                <w:kern w:val="0"/>
                <w:szCs w:val="21"/>
              </w:rPr>
            </w:pPr>
            <w:bookmarkStart w:id="11" w:name="OLE_LINK7"/>
            <w:bookmarkStart w:id="12" w:name="OLE_LINK8"/>
            <w:r>
              <w:rPr>
                <w:rFonts w:hint="eastAsia" w:ascii="宋体" w:hAnsi="宋体" w:cs="宋体"/>
                <w:kern w:val="0"/>
                <w:szCs w:val="21"/>
              </w:rPr>
              <w:t>双侧眼睑显著缺损</w:t>
            </w:r>
            <w:bookmarkEnd w:id="11"/>
            <w:bookmarkEnd w:id="12"/>
          </w:p>
        </w:tc>
        <w:tc>
          <w:tcPr>
            <w:tcW w:w="1330"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7402" w:type="dxa"/>
            <w:vAlign w:val="center"/>
          </w:tcPr>
          <w:p>
            <w:pPr>
              <w:widowControl/>
              <w:contextualSpacing/>
              <w:jc w:val="left"/>
              <w:rPr>
                <w:rFonts w:ascii="宋体" w:hAnsi="宋体" w:cs="宋体"/>
                <w:kern w:val="0"/>
                <w:szCs w:val="21"/>
              </w:rPr>
            </w:pPr>
            <w:r>
              <w:rPr>
                <w:rFonts w:hint="eastAsia" w:ascii="宋体" w:hAnsi="宋体" w:cs="宋体"/>
                <w:kern w:val="0"/>
                <w:szCs w:val="21"/>
              </w:rPr>
              <w:t>双侧眼睑外翻</w:t>
            </w:r>
          </w:p>
        </w:tc>
        <w:tc>
          <w:tcPr>
            <w:tcW w:w="1330"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7402" w:type="dxa"/>
            <w:vAlign w:val="center"/>
          </w:tcPr>
          <w:p>
            <w:pPr>
              <w:widowControl/>
              <w:contextualSpacing/>
              <w:jc w:val="left"/>
              <w:rPr>
                <w:rFonts w:ascii="宋体" w:hAnsi="宋体" w:cs="宋体"/>
                <w:kern w:val="0"/>
                <w:szCs w:val="21"/>
              </w:rPr>
            </w:pPr>
            <w:r>
              <w:rPr>
                <w:rFonts w:hint="eastAsia" w:ascii="宋体" w:hAnsi="宋体" w:cs="宋体"/>
                <w:kern w:val="0"/>
                <w:szCs w:val="21"/>
              </w:rPr>
              <w:t>双侧眼睑闭合不全</w:t>
            </w:r>
          </w:p>
        </w:tc>
        <w:tc>
          <w:tcPr>
            <w:tcW w:w="1330"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7402" w:type="dxa"/>
            <w:vAlign w:val="center"/>
          </w:tcPr>
          <w:p>
            <w:pPr>
              <w:widowControl/>
              <w:contextualSpacing/>
              <w:jc w:val="left"/>
              <w:rPr>
                <w:rFonts w:ascii="宋体" w:hAnsi="宋体" w:cs="宋体"/>
                <w:kern w:val="0"/>
                <w:szCs w:val="21"/>
              </w:rPr>
            </w:pPr>
            <w:r>
              <w:rPr>
                <w:rFonts w:hint="eastAsia" w:ascii="宋体" w:hAnsi="宋体" w:cs="宋体"/>
                <w:kern w:val="0"/>
                <w:szCs w:val="21"/>
              </w:rPr>
              <w:t>一侧眼睑显著缺损</w:t>
            </w:r>
          </w:p>
        </w:tc>
        <w:tc>
          <w:tcPr>
            <w:tcW w:w="1330"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402" w:type="dxa"/>
            <w:vAlign w:val="center"/>
          </w:tcPr>
          <w:p>
            <w:pPr>
              <w:widowControl/>
              <w:contextualSpacing/>
              <w:jc w:val="left"/>
              <w:rPr>
                <w:rFonts w:ascii="宋体" w:hAnsi="宋体" w:cs="宋体"/>
                <w:kern w:val="0"/>
                <w:szCs w:val="21"/>
              </w:rPr>
            </w:pPr>
            <w:r>
              <w:rPr>
                <w:rFonts w:hint="eastAsia" w:ascii="宋体" w:hAnsi="宋体" w:cs="宋体"/>
                <w:kern w:val="0"/>
                <w:szCs w:val="21"/>
              </w:rPr>
              <w:t>一侧眼睑外翻</w:t>
            </w:r>
          </w:p>
        </w:tc>
        <w:tc>
          <w:tcPr>
            <w:tcW w:w="1330" w:type="dxa"/>
            <w:vAlign w:val="center"/>
          </w:tcPr>
          <w:p>
            <w:pPr>
              <w:widowControl/>
              <w:contextualSpacing/>
              <w:jc w:val="center"/>
              <w:rPr>
                <w:rFonts w:ascii="宋体" w:hAnsi="宋体" w:cs="宋体"/>
                <w:kern w:val="0"/>
                <w:szCs w:val="21"/>
              </w:rPr>
            </w:pPr>
            <w:r>
              <w:rPr>
                <w:rFonts w:hint="eastAsia" w:ascii="宋体" w:hAnsi="宋体" w:cs="宋体"/>
                <w:kern w:val="0"/>
                <w:szCs w:val="21"/>
              </w:rPr>
              <w:t>9</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7402" w:type="dxa"/>
            <w:vAlign w:val="center"/>
          </w:tcPr>
          <w:p>
            <w:pPr>
              <w:widowControl/>
              <w:contextualSpacing/>
              <w:jc w:val="left"/>
              <w:rPr>
                <w:rFonts w:ascii="宋体" w:hAnsi="宋体" w:cs="宋体"/>
                <w:kern w:val="0"/>
                <w:szCs w:val="21"/>
              </w:rPr>
            </w:pPr>
            <w:r>
              <w:rPr>
                <w:rFonts w:hint="eastAsia" w:ascii="宋体" w:hAnsi="宋体" w:cs="宋体"/>
                <w:kern w:val="0"/>
                <w:szCs w:val="21"/>
              </w:rPr>
              <w:t>一侧眼睑闭合不全</w:t>
            </w:r>
          </w:p>
        </w:tc>
        <w:tc>
          <w:tcPr>
            <w:tcW w:w="1330" w:type="dxa"/>
            <w:vAlign w:val="center"/>
          </w:tcPr>
          <w:p>
            <w:pPr>
              <w:widowControl/>
              <w:contextualSpacing/>
              <w:jc w:val="center"/>
              <w:rPr>
                <w:rFonts w:ascii="宋体" w:hAnsi="宋体" w:cs="宋体"/>
                <w:kern w:val="0"/>
                <w:szCs w:val="21"/>
              </w:rPr>
            </w:pPr>
            <w:r>
              <w:rPr>
                <w:rFonts w:hint="eastAsia" w:ascii="宋体" w:hAnsi="宋体" w:cs="宋体"/>
                <w:kern w:val="0"/>
                <w:szCs w:val="21"/>
              </w:rPr>
              <w:t>9</w:t>
            </w:r>
            <w:r>
              <w:rPr>
                <w:rFonts w:ascii="宋体" w:hAnsi="宋体" w:cs="宋体"/>
                <w:kern w:val="0"/>
                <w:szCs w:val="21"/>
              </w:rPr>
              <w:t>级</w:t>
            </w:r>
          </w:p>
        </w:tc>
      </w:tr>
    </w:tbl>
    <w:p>
      <w:pPr>
        <w:widowControl/>
        <w:contextualSpacing/>
        <w:jc w:val="left"/>
        <w:rPr>
          <w:rFonts w:ascii="宋体" w:hAnsi="宋体"/>
          <w:kern w:val="0"/>
          <w:szCs w:val="21"/>
        </w:rPr>
      </w:pPr>
      <w:r>
        <w:rPr>
          <w:rFonts w:hint="eastAsia" w:ascii="宋体" w:hAnsi="宋体"/>
          <w:kern w:val="0"/>
          <w:szCs w:val="21"/>
        </w:rPr>
        <w:t>注：眼睑显著缺损指</w:t>
      </w:r>
      <w:r>
        <w:rPr>
          <w:rFonts w:ascii="宋体" w:hAnsi="宋体"/>
          <w:kern w:val="0"/>
          <w:szCs w:val="21"/>
        </w:rPr>
        <w:t>闭眼时眼睑不能完全覆盖角膜</w:t>
      </w:r>
      <w:r>
        <w:rPr>
          <w:rFonts w:hint="eastAsia" w:ascii="宋体" w:hAnsi="宋体"/>
          <w:kern w:val="0"/>
          <w:szCs w:val="21"/>
        </w:rPr>
        <w:t>。</w:t>
      </w:r>
    </w:p>
    <w:p>
      <w:pPr>
        <w:widowControl/>
        <w:numPr>
          <w:ilvl w:val="1"/>
          <w:numId w:val="1"/>
        </w:numPr>
        <w:ind w:left="0" w:firstLine="0"/>
        <w:contextualSpacing/>
        <w:jc w:val="left"/>
        <w:outlineLvl w:val="2"/>
        <w:rPr>
          <w:rFonts w:ascii="宋体" w:hAnsi="宋体"/>
          <w:b/>
          <w:bCs/>
          <w:szCs w:val="21"/>
        </w:rPr>
      </w:pPr>
      <w:bookmarkStart w:id="13" w:name="_Toc356463472"/>
      <w:r>
        <w:rPr>
          <w:rFonts w:hint="eastAsia" w:ascii="宋体" w:hAnsi="宋体"/>
          <w:b/>
          <w:bCs/>
          <w:szCs w:val="21"/>
        </w:rPr>
        <w:t>耳廓结构损伤或听功能障碍</w:t>
      </w:r>
      <w:bookmarkEnd w:id="13"/>
    </w:p>
    <w:p>
      <w:pPr>
        <w:ind w:firstLine="420" w:firstLineChars="200"/>
        <w:rPr>
          <w:rFonts w:ascii="宋体" w:hAnsi="宋体"/>
          <w:szCs w:val="21"/>
        </w:rPr>
      </w:pPr>
      <w:r>
        <w:rPr>
          <w:rFonts w:hint="eastAsia" w:ascii="宋体" w:hAnsi="宋体"/>
          <w:szCs w:val="21"/>
        </w:rPr>
        <w:t>听功能是指与感受存在的声音和辨别方位、音调、音量和音质有关的感觉功能。</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7443" w:type="dxa"/>
            <w:vAlign w:val="center"/>
          </w:tcPr>
          <w:p>
            <w:pPr>
              <w:widowControl/>
              <w:contextualSpacing/>
              <w:jc w:val="left"/>
              <w:rPr>
                <w:rFonts w:ascii="宋体" w:hAnsi="宋体" w:cs="宋体"/>
                <w:kern w:val="0"/>
                <w:szCs w:val="21"/>
              </w:rPr>
            </w:pPr>
            <w:bookmarkStart w:id="14" w:name="OLE_LINK10"/>
            <w:bookmarkStart w:id="15" w:name="OLE_LINK9"/>
            <w:r>
              <w:rPr>
                <w:rFonts w:hint="eastAsia" w:ascii="宋体" w:hAnsi="宋体" w:cs="宋体"/>
                <w:kern w:val="0"/>
                <w:szCs w:val="21"/>
              </w:rPr>
              <w:t>双耳听力损失大于等于</w:t>
            </w:r>
            <w:r>
              <w:rPr>
                <w:rFonts w:ascii="宋体" w:hAnsi="宋体" w:cs="宋体"/>
                <w:kern w:val="0"/>
                <w:szCs w:val="21"/>
              </w:rPr>
              <w:t>91dB，且双侧耳廓缺失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91dB</w:t>
            </w:r>
            <w:r>
              <w:rPr>
                <w:rFonts w:hint="eastAsia" w:ascii="宋体" w:hAnsi="宋体" w:cs="宋体"/>
                <w:kern w:val="0"/>
                <w:szCs w:val="21"/>
              </w:rPr>
              <w:t>，且一侧耳廓缺失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91dB，另一耳听力损失大于等于71dB，且一侧耳廓缺失，另一侧耳廓缺失大于等于50%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71dB，且双侧耳廓缺失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w:t>
            </w:r>
            <w:r>
              <w:rPr>
                <w:rFonts w:hint="eastAsia" w:ascii="宋体" w:hAnsi="宋体" w:cs="宋体"/>
                <w:kern w:val="0"/>
                <w:szCs w:val="21"/>
              </w:rPr>
              <w:t>，且一侧耳廓缺失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56dB</w:t>
            </w:r>
            <w:r>
              <w:rPr>
                <w:rFonts w:hint="eastAsia" w:ascii="宋体" w:hAnsi="宋体" w:cs="宋体"/>
                <w:kern w:val="0"/>
                <w:szCs w:val="21"/>
              </w:rPr>
              <w:t>，且双侧耳廓缺失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91dB，另一耳听力损失大于等于71dB，且一侧耳廓缺失大于等于50%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71dB，且一侧耳廓缺失大于等于50%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56dB，且一侧耳廓缺失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一侧耳廓缺失，且另一侧耳廓缺失大于等于</w:t>
            </w:r>
            <w:r>
              <w:rPr>
                <w:rFonts w:ascii="宋体" w:hAnsi="宋体" w:cs="宋体"/>
                <w:kern w:val="0"/>
                <w:szCs w:val="21"/>
              </w:rPr>
              <w:t>50%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一侧耳廓缺失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一侧耳廓缺失大于等于</w:t>
            </w:r>
            <w:r>
              <w:rPr>
                <w:rFonts w:ascii="宋体" w:hAnsi="宋体" w:cs="宋体"/>
                <w:kern w:val="0"/>
                <w:szCs w:val="21"/>
              </w:rPr>
              <w:t>50%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bookmarkEnd w:id="14"/>
      <w:bookmarkEnd w:id="15"/>
    </w:tbl>
    <w:p>
      <w:pPr>
        <w:widowControl/>
        <w:numPr>
          <w:ilvl w:val="1"/>
          <w:numId w:val="1"/>
        </w:numPr>
        <w:ind w:left="0" w:firstLine="0"/>
        <w:contextualSpacing/>
        <w:jc w:val="left"/>
        <w:outlineLvl w:val="2"/>
        <w:rPr>
          <w:rFonts w:ascii="宋体" w:hAnsi="宋体"/>
          <w:b/>
          <w:bCs/>
          <w:szCs w:val="21"/>
        </w:rPr>
      </w:pPr>
      <w:bookmarkStart w:id="16" w:name="_Toc356463473"/>
      <w:r>
        <w:rPr>
          <w:rFonts w:hint="eastAsia" w:ascii="宋体" w:hAnsi="宋体"/>
          <w:b/>
          <w:bCs/>
          <w:szCs w:val="21"/>
        </w:rPr>
        <w:t>听功能障碍</w:t>
      </w:r>
      <w:bookmarkEnd w:id="16"/>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7"/>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7387" w:type="dxa"/>
            <w:vAlign w:val="center"/>
          </w:tcPr>
          <w:p>
            <w:pPr>
              <w:widowControl/>
              <w:contextualSpacing/>
              <w:jc w:val="left"/>
              <w:rPr>
                <w:rFonts w:ascii="宋体" w:hAnsi="宋体" w:cs="宋体"/>
                <w:kern w:val="0"/>
                <w:szCs w:val="21"/>
              </w:rPr>
            </w:pPr>
            <w:bookmarkStart w:id="17" w:name="OLE_LINK5"/>
            <w:bookmarkStart w:id="18" w:name="OLE_LINK6"/>
            <w:r>
              <w:rPr>
                <w:rFonts w:hint="eastAsia" w:ascii="宋体" w:hAnsi="宋体" w:cs="宋体"/>
                <w:kern w:val="0"/>
                <w:szCs w:val="21"/>
              </w:rPr>
              <w:t>双耳听力损失大于等于</w:t>
            </w:r>
            <w:r>
              <w:rPr>
                <w:rFonts w:ascii="宋体" w:hAnsi="宋体" w:cs="宋体"/>
                <w:kern w:val="0"/>
                <w:szCs w:val="21"/>
              </w:rPr>
              <w:t>91dB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81dB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91dB，且另一耳听力损失大于等于71dB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91dB，且另一耳听力损失大于等于56dB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91dB，且另一耳听力损失大于等于41dB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71dB，且另一耳听力损失大于等于56dB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71dB，且另一耳听力损失大于等于41dB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 xml:space="preserve">56dB，且另一耳听力损失大于等于41dB </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71dB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26dB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387" w:type="dxa"/>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56dB</w:t>
            </w:r>
          </w:p>
        </w:tc>
        <w:tc>
          <w:tcPr>
            <w:tcW w:w="1345"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bookmarkEnd w:id="17"/>
      <w:bookmarkEnd w:id="18"/>
    </w:tbl>
    <w:p>
      <w:pPr>
        <w:widowControl/>
        <w:numPr>
          <w:ilvl w:val="0"/>
          <w:numId w:val="1"/>
        </w:numPr>
        <w:contextualSpacing/>
        <w:jc w:val="left"/>
        <w:outlineLvl w:val="1"/>
        <w:rPr>
          <w:rFonts w:ascii="宋体" w:hAnsi="宋体"/>
          <w:b/>
          <w:bCs/>
          <w:szCs w:val="21"/>
        </w:rPr>
      </w:pPr>
      <w:bookmarkStart w:id="19" w:name="_Toc356463474"/>
      <w:r>
        <w:rPr>
          <w:rFonts w:hint="eastAsia" w:ascii="宋体" w:hAnsi="宋体"/>
          <w:b/>
          <w:bCs/>
          <w:szCs w:val="21"/>
        </w:rPr>
        <w:t>发声和言语的结构和功能</w:t>
      </w:r>
      <w:bookmarkEnd w:id="19"/>
    </w:p>
    <w:p>
      <w:pPr>
        <w:widowControl/>
        <w:numPr>
          <w:ilvl w:val="1"/>
          <w:numId w:val="1"/>
        </w:numPr>
        <w:ind w:left="0" w:firstLine="0"/>
        <w:contextualSpacing/>
        <w:jc w:val="left"/>
        <w:outlineLvl w:val="2"/>
        <w:rPr>
          <w:rFonts w:ascii="宋体" w:hAnsi="宋体"/>
          <w:b/>
          <w:bCs/>
          <w:szCs w:val="21"/>
        </w:rPr>
      </w:pPr>
      <w:bookmarkStart w:id="20" w:name="_Toc356463475"/>
      <w:r>
        <w:rPr>
          <w:rFonts w:hint="eastAsia" w:ascii="宋体" w:hAnsi="宋体"/>
          <w:b/>
          <w:bCs/>
          <w:szCs w:val="21"/>
        </w:rPr>
        <w:t>鼻的结构损伤</w:t>
      </w:r>
      <w:bookmarkEnd w:id="20"/>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9"/>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29" w:type="dxa"/>
            <w:vAlign w:val="top"/>
          </w:tcPr>
          <w:p>
            <w:pPr>
              <w:widowControl/>
              <w:contextualSpacing/>
              <w:jc w:val="left"/>
              <w:rPr>
                <w:rFonts w:ascii="宋体" w:hAnsi="宋体" w:cs="宋体"/>
                <w:kern w:val="0"/>
                <w:szCs w:val="21"/>
              </w:rPr>
            </w:pPr>
            <w:r>
              <w:rPr>
                <w:rFonts w:hint="eastAsia" w:ascii="宋体" w:hAnsi="宋体" w:cs="宋体"/>
                <w:kern w:val="0"/>
                <w:szCs w:val="21"/>
              </w:rPr>
              <w:t>外鼻部完全缺失</w:t>
            </w:r>
          </w:p>
        </w:tc>
        <w:tc>
          <w:tcPr>
            <w:tcW w:w="1303" w:type="dxa"/>
            <w:vAlign w:val="top"/>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29" w:type="dxa"/>
            <w:vAlign w:val="top"/>
          </w:tcPr>
          <w:p>
            <w:pPr>
              <w:widowControl/>
              <w:contextualSpacing/>
              <w:jc w:val="left"/>
              <w:rPr>
                <w:rFonts w:ascii="宋体" w:hAnsi="宋体" w:cs="宋体"/>
                <w:kern w:val="0"/>
                <w:szCs w:val="21"/>
              </w:rPr>
            </w:pPr>
            <w:r>
              <w:rPr>
                <w:rFonts w:hint="eastAsia" w:ascii="宋体" w:hAnsi="宋体" w:cs="宋体"/>
                <w:kern w:val="0"/>
                <w:szCs w:val="21"/>
              </w:rPr>
              <w:t>外鼻部大部分缺损</w:t>
            </w:r>
          </w:p>
        </w:tc>
        <w:tc>
          <w:tcPr>
            <w:tcW w:w="1303" w:type="dxa"/>
            <w:vAlign w:val="top"/>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429" w:type="dxa"/>
            <w:vAlign w:val="top"/>
          </w:tcPr>
          <w:p>
            <w:pPr>
              <w:widowControl/>
              <w:contextualSpacing/>
              <w:jc w:val="left"/>
              <w:rPr>
                <w:rFonts w:ascii="宋体" w:hAnsi="宋体" w:cs="宋体"/>
                <w:kern w:val="0"/>
                <w:szCs w:val="21"/>
              </w:rPr>
            </w:pPr>
            <w:r>
              <w:rPr>
                <w:rFonts w:hint="eastAsia" w:ascii="宋体" w:hAnsi="宋体" w:cs="宋体"/>
                <w:kern w:val="0"/>
                <w:szCs w:val="21"/>
              </w:rPr>
              <w:t>鼻尖及一侧鼻翼缺损</w:t>
            </w:r>
          </w:p>
        </w:tc>
        <w:tc>
          <w:tcPr>
            <w:tcW w:w="1303" w:type="dxa"/>
            <w:vAlign w:val="top"/>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7429" w:type="dxa"/>
            <w:vAlign w:val="top"/>
          </w:tcPr>
          <w:p>
            <w:pPr>
              <w:widowControl/>
              <w:contextualSpacing/>
              <w:jc w:val="left"/>
              <w:rPr>
                <w:rFonts w:ascii="宋体" w:hAnsi="宋体" w:cs="宋体"/>
                <w:kern w:val="0"/>
                <w:szCs w:val="21"/>
              </w:rPr>
            </w:pPr>
            <w:r>
              <w:rPr>
                <w:rFonts w:hint="eastAsia" w:ascii="宋体" w:hAnsi="宋体" w:cs="宋体"/>
                <w:kern w:val="0"/>
                <w:szCs w:val="21"/>
              </w:rPr>
              <w:t>双侧鼻腔或鼻咽部闭锁</w:t>
            </w:r>
          </w:p>
        </w:tc>
        <w:tc>
          <w:tcPr>
            <w:tcW w:w="1303" w:type="dxa"/>
            <w:vAlign w:val="top"/>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29" w:type="dxa"/>
            <w:vAlign w:val="top"/>
          </w:tcPr>
          <w:p>
            <w:pPr>
              <w:widowControl/>
              <w:contextualSpacing/>
              <w:jc w:val="left"/>
              <w:rPr>
                <w:rFonts w:ascii="宋体" w:hAnsi="宋体" w:cs="宋体"/>
                <w:kern w:val="0"/>
                <w:szCs w:val="21"/>
              </w:rPr>
            </w:pPr>
            <w:r>
              <w:rPr>
                <w:rFonts w:hint="eastAsia" w:ascii="宋体" w:hAnsi="宋体" w:cs="宋体"/>
                <w:kern w:val="0"/>
                <w:szCs w:val="21"/>
              </w:rPr>
              <w:t>一侧鼻翼缺损</w:t>
            </w:r>
          </w:p>
        </w:tc>
        <w:tc>
          <w:tcPr>
            <w:tcW w:w="1303" w:type="dxa"/>
            <w:vAlign w:val="top"/>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29" w:type="dxa"/>
            <w:vAlign w:val="top"/>
          </w:tcPr>
          <w:p>
            <w:pPr>
              <w:widowControl/>
              <w:contextualSpacing/>
              <w:jc w:val="left"/>
              <w:rPr>
                <w:rFonts w:ascii="宋体" w:hAnsi="宋体" w:cs="宋体"/>
                <w:kern w:val="0"/>
                <w:szCs w:val="21"/>
              </w:rPr>
            </w:pPr>
            <w:r>
              <w:rPr>
                <w:rFonts w:hint="eastAsia" w:ascii="宋体" w:hAnsi="宋体" w:cs="宋体"/>
                <w:kern w:val="0"/>
                <w:szCs w:val="21"/>
              </w:rPr>
              <w:t>单侧鼻腔或鼻孔闭锁</w:t>
            </w:r>
          </w:p>
        </w:tc>
        <w:tc>
          <w:tcPr>
            <w:tcW w:w="1303" w:type="dxa"/>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21" w:name="_Toc356463476"/>
      <w:r>
        <w:rPr>
          <w:rFonts w:hint="eastAsia" w:ascii="宋体" w:hAnsi="宋体"/>
          <w:b/>
          <w:bCs/>
          <w:szCs w:val="21"/>
        </w:rPr>
        <w:t>口腔的结构损伤</w:t>
      </w:r>
      <w:bookmarkEnd w:id="21"/>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1"/>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jc w:val="center"/>
        </w:trPr>
        <w:tc>
          <w:tcPr>
            <w:tcW w:w="7431" w:type="dxa"/>
            <w:vAlign w:val="top"/>
          </w:tcPr>
          <w:p>
            <w:pPr>
              <w:widowControl/>
              <w:contextualSpacing/>
              <w:jc w:val="left"/>
              <w:rPr>
                <w:rFonts w:ascii="宋体" w:hAnsi="宋体" w:cs="宋体"/>
                <w:kern w:val="0"/>
                <w:szCs w:val="21"/>
              </w:rPr>
            </w:pPr>
            <w:r>
              <w:rPr>
                <w:rFonts w:hint="eastAsia" w:ascii="宋体" w:hAnsi="宋体" w:cs="宋体"/>
                <w:kern w:val="0"/>
                <w:szCs w:val="21"/>
              </w:rPr>
              <w:t>舌缺损大于全舌的</w:t>
            </w:r>
            <w:r>
              <w:rPr>
                <w:rFonts w:ascii="宋体" w:hAnsi="宋体" w:cs="宋体"/>
                <w:kern w:val="0"/>
                <w:szCs w:val="21"/>
              </w:rPr>
              <w:t>2/3</w:t>
            </w:r>
          </w:p>
        </w:tc>
        <w:tc>
          <w:tcPr>
            <w:tcW w:w="1301" w:type="dxa"/>
            <w:vAlign w:val="top"/>
          </w:tcPr>
          <w:p>
            <w:pPr>
              <w:widowControl/>
              <w:contextualSpacing/>
              <w:jc w:val="center"/>
              <w:rPr>
                <w:rFonts w:ascii="宋体" w:hAnsi="宋体" w:cs="宋体"/>
                <w:kern w:val="0"/>
                <w:szCs w:val="21"/>
              </w:rPr>
            </w:pPr>
            <w:r>
              <w:rPr>
                <w:rFonts w:ascii="宋体" w:hAnsi="宋体" w:cs="宋体"/>
                <w:kern w:val="0"/>
                <w:szCs w:val="21"/>
              </w:rPr>
              <w:t xml:space="preserve">3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1" w:type="dxa"/>
            <w:vAlign w:val="top"/>
          </w:tcPr>
          <w:p>
            <w:pPr>
              <w:widowControl/>
              <w:contextualSpacing/>
              <w:jc w:val="left"/>
              <w:rPr>
                <w:rFonts w:ascii="宋体" w:hAnsi="宋体" w:cs="宋体"/>
                <w:kern w:val="0"/>
                <w:szCs w:val="21"/>
              </w:rPr>
            </w:pPr>
            <w:r>
              <w:rPr>
                <w:rFonts w:hint="eastAsia" w:ascii="宋体" w:hAnsi="宋体" w:cs="宋体"/>
                <w:kern w:val="0"/>
                <w:szCs w:val="21"/>
              </w:rPr>
              <w:t>舌缺损大于全舌的</w:t>
            </w:r>
            <w:r>
              <w:rPr>
                <w:rFonts w:ascii="宋体" w:hAnsi="宋体" w:cs="宋体"/>
                <w:kern w:val="0"/>
                <w:szCs w:val="21"/>
              </w:rPr>
              <w:t>1/3</w:t>
            </w:r>
          </w:p>
        </w:tc>
        <w:tc>
          <w:tcPr>
            <w:tcW w:w="1301" w:type="dxa"/>
            <w:vAlign w:val="top"/>
          </w:tcPr>
          <w:p>
            <w:pPr>
              <w:widowControl/>
              <w:contextualSpacing/>
              <w:jc w:val="center"/>
              <w:rPr>
                <w:rFonts w:ascii="宋体" w:hAnsi="宋体" w:cs="宋体"/>
                <w:kern w:val="0"/>
                <w:szCs w:val="21"/>
              </w:rPr>
            </w:pPr>
            <w:r>
              <w:rPr>
                <w:rFonts w:ascii="宋体" w:hAnsi="宋体" w:cs="宋体"/>
                <w:kern w:val="0"/>
                <w:szCs w:val="21"/>
              </w:rPr>
              <w:t xml:space="preserve">6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7431" w:type="dxa"/>
            <w:vAlign w:val="top"/>
          </w:tcPr>
          <w:p>
            <w:pPr>
              <w:widowControl/>
              <w:contextualSpacing/>
              <w:jc w:val="left"/>
              <w:rPr>
                <w:rFonts w:ascii="宋体" w:hAnsi="宋体" w:cs="宋体"/>
                <w:kern w:val="0"/>
                <w:szCs w:val="21"/>
              </w:rPr>
            </w:pPr>
            <w:r>
              <w:rPr>
                <w:rFonts w:hint="eastAsia" w:ascii="宋体" w:hAnsi="宋体" w:cs="宋体"/>
                <w:kern w:val="0"/>
                <w:szCs w:val="21"/>
              </w:rPr>
              <w:t>口腔损伤导致牙齿脱落大于等于</w:t>
            </w:r>
            <w:r>
              <w:rPr>
                <w:rFonts w:ascii="宋体" w:hAnsi="宋体" w:cs="宋体"/>
                <w:kern w:val="0"/>
                <w:szCs w:val="21"/>
              </w:rPr>
              <w:t>16枚</w:t>
            </w:r>
          </w:p>
        </w:tc>
        <w:tc>
          <w:tcPr>
            <w:tcW w:w="1301" w:type="dxa"/>
            <w:vAlign w:val="top"/>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7431" w:type="dxa"/>
            <w:vAlign w:val="top"/>
          </w:tcPr>
          <w:p>
            <w:pPr>
              <w:widowControl/>
              <w:contextualSpacing/>
              <w:jc w:val="left"/>
              <w:rPr>
                <w:rFonts w:ascii="宋体" w:hAnsi="宋体" w:cs="宋体"/>
                <w:kern w:val="0"/>
                <w:szCs w:val="21"/>
              </w:rPr>
            </w:pPr>
            <w:r>
              <w:rPr>
                <w:rFonts w:hint="eastAsia" w:ascii="宋体" w:hAnsi="宋体" w:cs="宋体"/>
                <w:kern w:val="0"/>
                <w:szCs w:val="21"/>
              </w:rPr>
              <w:t>口腔损伤导致牙齿脱落大于等于</w:t>
            </w:r>
            <w:r>
              <w:rPr>
                <w:rFonts w:ascii="宋体" w:hAnsi="宋体" w:cs="宋体"/>
                <w:kern w:val="0"/>
                <w:szCs w:val="21"/>
              </w:rPr>
              <w:t>8枚</w:t>
            </w:r>
          </w:p>
        </w:tc>
        <w:tc>
          <w:tcPr>
            <w:tcW w:w="1301" w:type="dxa"/>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22" w:name="_Toc356463477"/>
      <w:r>
        <w:rPr>
          <w:rFonts w:hint="eastAsia" w:ascii="宋体" w:hAnsi="宋体"/>
          <w:b/>
          <w:bCs/>
          <w:szCs w:val="21"/>
        </w:rPr>
        <w:t>发声和言语的功能障碍</w:t>
      </w:r>
      <w:bookmarkEnd w:id="22"/>
    </w:p>
    <w:p>
      <w:pPr>
        <w:ind w:firstLine="420" w:firstLineChars="200"/>
        <w:rPr>
          <w:rFonts w:ascii="宋体" w:hAnsi="宋体"/>
          <w:szCs w:val="21"/>
        </w:rPr>
      </w:pPr>
      <w:r>
        <w:rPr>
          <w:rFonts w:hint="eastAsia" w:ascii="宋体" w:hAnsi="宋体"/>
          <w:szCs w:val="21"/>
        </w:rPr>
        <w:t>本标准中的发声和言语的功能障碍是指语言功能丧失。</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1"/>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1" w:type="dxa"/>
            <w:vAlign w:val="top"/>
          </w:tcPr>
          <w:p>
            <w:pPr>
              <w:widowControl/>
              <w:contextualSpacing/>
              <w:jc w:val="left"/>
              <w:rPr>
                <w:rFonts w:ascii="宋体" w:hAnsi="宋体" w:cs="宋体"/>
                <w:kern w:val="0"/>
                <w:szCs w:val="21"/>
              </w:rPr>
            </w:pPr>
            <w:r>
              <w:rPr>
                <w:rFonts w:hint="eastAsia" w:ascii="宋体" w:hAnsi="宋体" w:cs="宋体"/>
                <w:kern w:val="0"/>
                <w:szCs w:val="21"/>
              </w:rPr>
              <w:t>语言功能完全丧失</w:t>
            </w:r>
          </w:p>
        </w:tc>
        <w:tc>
          <w:tcPr>
            <w:tcW w:w="1301" w:type="dxa"/>
            <w:vAlign w:val="top"/>
          </w:tcPr>
          <w:p>
            <w:pPr>
              <w:widowControl/>
              <w:contextualSpacing/>
              <w:jc w:val="center"/>
              <w:rPr>
                <w:rFonts w:ascii="宋体" w:hAnsi="宋体" w:cs="宋体"/>
                <w:kern w:val="0"/>
                <w:szCs w:val="21"/>
              </w:rPr>
            </w:pPr>
            <w:r>
              <w:rPr>
                <w:rFonts w:ascii="宋体" w:hAnsi="宋体" w:cs="宋体"/>
                <w:kern w:val="0"/>
                <w:szCs w:val="21"/>
              </w:rPr>
              <w:t>8</w:t>
            </w:r>
            <w:r>
              <w:rPr>
                <w:rFonts w:hint="eastAsia" w:ascii="宋体" w:hAnsi="宋体" w:cs="宋体"/>
                <w:kern w:val="0"/>
                <w:szCs w:val="21"/>
              </w:rPr>
              <w:t>级</w:t>
            </w:r>
          </w:p>
        </w:tc>
      </w:tr>
    </w:tbl>
    <w:p>
      <w:pPr>
        <w:widowControl/>
        <w:contextualSpacing/>
        <w:jc w:val="left"/>
        <w:rPr>
          <w:rFonts w:ascii="宋体" w:hAnsi="宋体"/>
          <w:kern w:val="0"/>
          <w:szCs w:val="21"/>
        </w:rPr>
      </w:pPr>
      <w:r>
        <w:rPr>
          <w:rFonts w:hint="eastAsia" w:ascii="宋体" w:hAnsi="宋体"/>
          <w:kern w:val="0"/>
          <w:szCs w:val="21"/>
        </w:rPr>
        <w:t>注：语言功能完全丧失指构成语言的口唇音、齿舌音、口盖音和喉头音的四种语言功能中，有三种以上不能构声、或声带全部切除，或因大脑语言中枢受伤害而患失语症，并须有资格的耳鼻喉科医师出具医疗诊断证明，但不包括任何心理障碍引致的失语。</w:t>
      </w:r>
    </w:p>
    <w:p>
      <w:pPr>
        <w:widowControl/>
        <w:numPr>
          <w:ilvl w:val="0"/>
          <w:numId w:val="1"/>
        </w:numPr>
        <w:contextualSpacing/>
        <w:jc w:val="left"/>
        <w:outlineLvl w:val="1"/>
        <w:rPr>
          <w:rFonts w:ascii="宋体" w:hAnsi="宋体"/>
          <w:b/>
          <w:bCs/>
          <w:szCs w:val="21"/>
        </w:rPr>
      </w:pPr>
      <w:bookmarkStart w:id="23" w:name="_Toc349832692"/>
      <w:bookmarkEnd w:id="23"/>
      <w:bookmarkStart w:id="24" w:name="_Toc349833743"/>
      <w:bookmarkEnd w:id="24"/>
      <w:bookmarkStart w:id="25" w:name="_Toc349826914"/>
      <w:bookmarkEnd w:id="25"/>
      <w:bookmarkStart w:id="26" w:name="_Toc349833744"/>
      <w:bookmarkEnd w:id="26"/>
      <w:bookmarkStart w:id="27" w:name="_Toc349833348"/>
      <w:bookmarkEnd w:id="27"/>
      <w:bookmarkStart w:id="28" w:name="_Toc349833347"/>
      <w:bookmarkEnd w:id="28"/>
      <w:bookmarkStart w:id="29" w:name="_Toc349826758"/>
      <w:bookmarkEnd w:id="29"/>
      <w:bookmarkStart w:id="30" w:name="_Toc349826759"/>
      <w:bookmarkEnd w:id="30"/>
      <w:bookmarkStart w:id="31" w:name="_Toc349826915"/>
      <w:bookmarkEnd w:id="31"/>
      <w:bookmarkStart w:id="32" w:name="_Toc349832693"/>
      <w:bookmarkEnd w:id="32"/>
      <w:bookmarkStart w:id="33" w:name="_Toc356463478"/>
      <w:r>
        <w:rPr>
          <w:rFonts w:hint="eastAsia" w:ascii="宋体" w:hAnsi="宋体"/>
          <w:b/>
          <w:bCs/>
          <w:szCs w:val="21"/>
        </w:rPr>
        <w:t>心血管，免疫和呼吸系统的结构和功能</w:t>
      </w:r>
      <w:bookmarkEnd w:id="33"/>
    </w:p>
    <w:p>
      <w:pPr>
        <w:widowControl/>
        <w:numPr>
          <w:ilvl w:val="1"/>
          <w:numId w:val="1"/>
        </w:numPr>
        <w:ind w:left="0" w:firstLine="0"/>
        <w:contextualSpacing/>
        <w:jc w:val="left"/>
        <w:outlineLvl w:val="2"/>
        <w:rPr>
          <w:rFonts w:ascii="宋体" w:hAnsi="宋体"/>
          <w:b/>
          <w:bCs/>
          <w:szCs w:val="21"/>
        </w:rPr>
      </w:pPr>
      <w:bookmarkStart w:id="34" w:name="_Toc356463479"/>
      <w:bookmarkStart w:id="35" w:name="_Toc350932575"/>
      <w:r>
        <w:rPr>
          <w:rFonts w:hint="eastAsia" w:ascii="宋体" w:hAnsi="宋体"/>
          <w:b/>
          <w:bCs/>
          <w:szCs w:val="21"/>
        </w:rPr>
        <w:t>心脏的结构损伤或功能障碍</w:t>
      </w:r>
      <w:bookmarkEnd w:id="34"/>
      <w:bookmarkEnd w:id="35"/>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胸部损伤导致心肺联合移植</w:t>
            </w:r>
          </w:p>
        </w:tc>
        <w:tc>
          <w:tcPr>
            <w:tcW w:w="1296" w:type="dxa"/>
            <w:vAlign w:val="top"/>
          </w:tcPr>
          <w:p>
            <w:pPr>
              <w:widowControl/>
              <w:contextualSpacing/>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胸部损伤导致心脏贯通伤修补术后，心电图有明显改变</w:t>
            </w:r>
          </w:p>
        </w:tc>
        <w:tc>
          <w:tcPr>
            <w:tcW w:w="1296" w:type="dxa"/>
            <w:vAlign w:val="top"/>
          </w:tcPr>
          <w:p>
            <w:pPr>
              <w:widowControl/>
              <w:contextualSpacing/>
              <w:jc w:val="center"/>
              <w:rPr>
                <w:rFonts w:ascii="宋体" w:hAnsi="宋体" w:cs="宋体"/>
                <w:kern w:val="0"/>
                <w:szCs w:val="21"/>
              </w:rPr>
            </w:pPr>
            <w:r>
              <w:rPr>
                <w:rFonts w:hint="eastAsia" w:ascii="宋体" w:hAnsi="宋体" w:cs="宋体"/>
                <w:kern w:val="0"/>
                <w:szCs w:val="21"/>
              </w:rPr>
              <w:t>3</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胸部损伤导致心肌破裂修补</w:t>
            </w:r>
          </w:p>
        </w:tc>
        <w:tc>
          <w:tcPr>
            <w:tcW w:w="1296" w:type="dxa"/>
            <w:vAlign w:val="top"/>
          </w:tcPr>
          <w:p>
            <w:pPr>
              <w:widowControl/>
              <w:contextualSpacing/>
              <w:jc w:val="center"/>
              <w:rPr>
                <w:rFonts w:ascii="宋体" w:hAnsi="宋体" w:cs="宋体"/>
                <w:kern w:val="0"/>
                <w:szCs w:val="21"/>
              </w:rPr>
            </w:pPr>
            <w:r>
              <w:rPr>
                <w:rFonts w:hint="eastAsia" w:ascii="宋体" w:hAnsi="宋体" w:cs="宋体"/>
                <w:kern w:val="0"/>
                <w:szCs w:val="21"/>
              </w:rPr>
              <w:t>8</w:t>
            </w:r>
            <w:r>
              <w:rPr>
                <w:rFonts w:ascii="宋体" w:hAnsi="宋体" w:cs="宋体"/>
                <w:kern w:val="0"/>
                <w:szCs w:val="21"/>
              </w:rPr>
              <w:t>级</w:t>
            </w:r>
          </w:p>
        </w:tc>
      </w:tr>
    </w:tbl>
    <w:p>
      <w:pPr>
        <w:widowControl/>
        <w:numPr>
          <w:ilvl w:val="1"/>
          <w:numId w:val="1"/>
        </w:numPr>
        <w:ind w:left="0" w:firstLine="0"/>
        <w:contextualSpacing/>
        <w:jc w:val="left"/>
        <w:outlineLvl w:val="2"/>
        <w:rPr>
          <w:rFonts w:ascii="宋体" w:hAnsi="宋体"/>
          <w:b/>
          <w:bCs/>
          <w:szCs w:val="21"/>
        </w:rPr>
      </w:pPr>
      <w:bookmarkStart w:id="36" w:name="_Toc356463480"/>
      <w:r>
        <w:rPr>
          <w:rFonts w:hint="eastAsia" w:ascii="宋体" w:hAnsi="宋体"/>
          <w:b/>
          <w:bCs/>
          <w:szCs w:val="21"/>
        </w:rPr>
        <w:t>脾结构损伤</w:t>
      </w:r>
      <w:bookmarkEnd w:id="36"/>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3"/>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腹部损伤导致脾切除</w:t>
            </w:r>
          </w:p>
        </w:tc>
        <w:tc>
          <w:tcPr>
            <w:tcW w:w="1299" w:type="dxa"/>
            <w:vAlign w:val="top"/>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腹部损伤导致脾部分切除</w:t>
            </w:r>
          </w:p>
        </w:tc>
        <w:tc>
          <w:tcPr>
            <w:tcW w:w="1299" w:type="dxa"/>
            <w:vAlign w:val="top"/>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腹部损伤导致脾破裂修补</w:t>
            </w:r>
          </w:p>
        </w:tc>
        <w:tc>
          <w:tcPr>
            <w:tcW w:w="1299" w:type="dxa"/>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37" w:name="_Toc356463481"/>
      <w:r>
        <w:rPr>
          <w:rFonts w:hint="eastAsia" w:ascii="宋体" w:hAnsi="宋体"/>
          <w:b/>
          <w:bCs/>
          <w:szCs w:val="21"/>
        </w:rPr>
        <w:t>肺的结构损伤</w:t>
      </w:r>
      <w:bookmarkEnd w:id="37"/>
    </w:p>
    <w:tbl>
      <w:tblPr>
        <w:tblStyle w:val="4"/>
        <w:tblW w:w="8732" w:type="dxa"/>
        <w:jc w:val="center"/>
        <w:tblLayout w:type="fixed"/>
        <w:tblCellMar>
          <w:top w:w="0" w:type="dxa"/>
          <w:left w:w="108" w:type="dxa"/>
          <w:bottom w:w="0" w:type="dxa"/>
          <w:right w:w="108" w:type="dxa"/>
        </w:tblCellMar>
      </w:tblPr>
      <w:tblGrid>
        <w:gridCol w:w="7433"/>
        <w:gridCol w:w="1299"/>
      </w:tblGrid>
      <w:tr>
        <w:tblPrEx>
          <w:tblCellMar>
            <w:top w:w="0" w:type="dxa"/>
            <w:left w:w="108" w:type="dxa"/>
            <w:bottom w:w="0" w:type="dxa"/>
            <w:right w:w="108" w:type="dxa"/>
          </w:tblCellMar>
        </w:tblPrEx>
        <w:trPr>
          <w:trHeight w:val="64" w:hRule="atLeast"/>
          <w:jc w:val="center"/>
        </w:trPr>
        <w:tc>
          <w:tcPr>
            <w:tcW w:w="7433"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bookmarkStart w:id="38" w:name="OLE_LINK13"/>
            <w:r>
              <w:rPr>
                <w:rFonts w:hint="eastAsia" w:ascii="宋体" w:hAnsi="宋体" w:cs="宋体"/>
                <w:kern w:val="0"/>
                <w:szCs w:val="21"/>
              </w:rPr>
              <w:t>胸部损伤导致一侧全肺切除</w:t>
            </w:r>
            <w:bookmarkEnd w:id="38"/>
          </w:p>
        </w:tc>
        <w:tc>
          <w:tcPr>
            <w:tcW w:w="1299"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CellMar>
            <w:top w:w="0" w:type="dxa"/>
            <w:left w:w="108" w:type="dxa"/>
            <w:bottom w:w="0" w:type="dxa"/>
            <w:right w:w="108" w:type="dxa"/>
          </w:tblCellMar>
        </w:tblPrEx>
        <w:trPr>
          <w:trHeight w:val="106" w:hRule="atLeast"/>
          <w:jc w:val="center"/>
        </w:trPr>
        <w:tc>
          <w:tcPr>
            <w:tcW w:w="7433"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胸部损伤导致双侧肺叶切除</w:t>
            </w:r>
          </w:p>
        </w:tc>
        <w:tc>
          <w:tcPr>
            <w:tcW w:w="1299"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CellMar>
            <w:top w:w="0" w:type="dxa"/>
            <w:left w:w="108" w:type="dxa"/>
            <w:bottom w:w="0" w:type="dxa"/>
            <w:right w:w="108" w:type="dxa"/>
          </w:tblCellMar>
        </w:tblPrEx>
        <w:trPr>
          <w:trHeight w:val="64" w:hRule="atLeast"/>
          <w:jc w:val="center"/>
        </w:trPr>
        <w:tc>
          <w:tcPr>
            <w:tcW w:w="7433"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胸部损伤导致同侧双肺叶切除</w:t>
            </w:r>
          </w:p>
        </w:tc>
        <w:tc>
          <w:tcPr>
            <w:tcW w:w="1299"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CellMar>
            <w:top w:w="0" w:type="dxa"/>
            <w:left w:w="108" w:type="dxa"/>
            <w:bottom w:w="0" w:type="dxa"/>
            <w:right w:w="108" w:type="dxa"/>
          </w:tblCellMar>
        </w:tblPrEx>
        <w:trPr>
          <w:trHeight w:val="64" w:hRule="atLeast"/>
          <w:jc w:val="center"/>
        </w:trPr>
        <w:tc>
          <w:tcPr>
            <w:tcW w:w="7433"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胸部损伤导致肺叶切除</w:t>
            </w:r>
          </w:p>
        </w:tc>
        <w:tc>
          <w:tcPr>
            <w:tcW w:w="1299"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7级</w:t>
            </w:r>
          </w:p>
        </w:tc>
      </w:tr>
    </w:tbl>
    <w:p>
      <w:pPr>
        <w:widowControl/>
        <w:numPr>
          <w:ilvl w:val="1"/>
          <w:numId w:val="1"/>
        </w:numPr>
        <w:ind w:left="0" w:firstLine="0"/>
        <w:contextualSpacing/>
        <w:jc w:val="left"/>
        <w:outlineLvl w:val="2"/>
        <w:rPr>
          <w:rFonts w:ascii="宋体" w:hAnsi="宋体"/>
          <w:b/>
          <w:bCs/>
          <w:szCs w:val="21"/>
        </w:rPr>
      </w:pPr>
      <w:bookmarkStart w:id="39" w:name="_Toc356463482"/>
      <w:r>
        <w:rPr>
          <w:rFonts w:hint="eastAsia" w:ascii="宋体" w:hAnsi="宋体"/>
          <w:b/>
          <w:bCs/>
          <w:szCs w:val="21"/>
        </w:rPr>
        <w:t>胸廓的结构损伤</w:t>
      </w:r>
      <w:bookmarkEnd w:id="39"/>
    </w:p>
    <w:p>
      <w:pPr>
        <w:ind w:firstLine="420" w:firstLineChars="200"/>
        <w:contextualSpacing/>
        <w:rPr>
          <w:rFonts w:ascii="宋体" w:hAnsi="宋体"/>
          <w:szCs w:val="21"/>
        </w:rPr>
      </w:pPr>
      <w:r>
        <w:rPr>
          <w:rFonts w:hint="eastAsia" w:ascii="宋体" w:hAnsi="宋体"/>
          <w:szCs w:val="21"/>
        </w:rPr>
        <w:t>本标准中的胸廓的结构损伤是指肋骨骨折或缺失。</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3"/>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12根肋骨骨折</w:t>
            </w:r>
          </w:p>
        </w:tc>
        <w:tc>
          <w:tcPr>
            <w:tcW w:w="1299" w:type="dxa"/>
            <w:vAlign w:val="center"/>
          </w:tcPr>
          <w:p>
            <w:pPr>
              <w:widowControl/>
              <w:contextualSpacing/>
              <w:jc w:val="center"/>
              <w:rPr>
                <w:rFonts w:ascii="宋体" w:hAnsi="宋体" w:cs="宋体"/>
                <w:kern w:val="0"/>
                <w:szCs w:val="21"/>
              </w:rPr>
            </w:pPr>
            <w:r>
              <w:rPr>
                <w:rFonts w:ascii="宋体" w:hAnsi="宋体" w:cs="宋体"/>
                <w:kern w:val="0"/>
                <w:szCs w:val="21"/>
              </w:rPr>
              <w:t xml:space="preserve">8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8根肋骨骨折</w:t>
            </w:r>
          </w:p>
        </w:tc>
        <w:tc>
          <w:tcPr>
            <w:tcW w:w="1299" w:type="dxa"/>
            <w:vAlign w:val="center"/>
          </w:tcPr>
          <w:p>
            <w:pPr>
              <w:widowControl/>
              <w:contextualSpacing/>
              <w:jc w:val="center"/>
              <w:rPr>
                <w:rFonts w:ascii="宋体" w:hAnsi="宋体" w:cs="宋体"/>
                <w:kern w:val="0"/>
                <w:szCs w:val="21"/>
              </w:rPr>
            </w:pPr>
            <w:r>
              <w:rPr>
                <w:rFonts w:ascii="宋体" w:hAnsi="宋体" w:cs="宋体"/>
                <w:kern w:val="0"/>
                <w:szCs w:val="21"/>
              </w:rPr>
              <w:t xml:space="preserve">9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4根肋骨缺失</w:t>
            </w:r>
          </w:p>
        </w:tc>
        <w:tc>
          <w:tcPr>
            <w:tcW w:w="1299"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4根肋骨骨折</w:t>
            </w:r>
          </w:p>
        </w:tc>
        <w:tc>
          <w:tcPr>
            <w:tcW w:w="1299"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7433" w:type="dxa"/>
            <w:vAlign w:val="top"/>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2根肋骨缺失</w:t>
            </w:r>
          </w:p>
        </w:tc>
        <w:tc>
          <w:tcPr>
            <w:tcW w:w="1299" w:type="dxa"/>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0"/>
          <w:numId w:val="1"/>
        </w:numPr>
        <w:contextualSpacing/>
        <w:jc w:val="left"/>
        <w:outlineLvl w:val="1"/>
        <w:rPr>
          <w:rFonts w:ascii="宋体" w:hAnsi="宋体"/>
          <w:b/>
          <w:bCs/>
          <w:szCs w:val="21"/>
        </w:rPr>
      </w:pPr>
      <w:bookmarkStart w:id="40" w:name="_Toc356463483"/>
      <w:r>
        <w:rPr>
          <w:rFonts w:hint="eastAsia" w:ascii="宋体" w:hAnsi="宋体"/>
          <w:b/>
          <w:bCs/>
          <w:szCs w:val="21"/>
        </w:rPr>
        <w:t>消化、代谢和内分泌系统有关的结构和功能</w:t>
      </w:r>
      <w:bookmarkEnd w:id="40"/>
    </w:p>
    <w:p>
      <w:pPr>
        <w:widowControl/>
        <w:numPr>
          <w:ilvl w:val="1"/>
          <w:numId w:val="1"/>
        </w:numPr>
        <w:ind w:left="0" w:firstLine="0"/>
        <w:contextualSpacing/>
        <w:jc w:val="left"/>
        <w:outlineLvl w:val="2"/>
        <w:rPr>
          <w:rFonts w:ascii="宋体" w:hAnsi="宋体"/>
          <w:b/>
          <w:bCs/>
          <w:szCs w:val="21"/>
        </w:rPr>
      </w:pPr>
      <w:bookmarkStart w:id="41" w:name="_Toc356463484"/>
      <w:r>
        <w:rPr>
          <w:rFonts w:hint="eastAsia" w:ascii="宋体" w:hAnsi="宋体"/>
          <w:b/>
          <w:bCs/>
          <w:szCs w:val="21"/>
        </w:rPr>
        <w:t>咀嚼和吞咽功能障碍</w:t>
      </w:r>
      <w:bookmarkEnd w:id="41"/>
    </w:p>
    <w:p>
      <w:pPr>
        <w:ind w:firstLine="420" w:firstLineChars="200"/>
        <w:contextualSpacing/>
        <w:rPr>
          <w:rFonts w:ascii="宋体" w:hAnsi="宋体"/>
          <w:szCs w:val="21"/>
        </w:rPr>
      </w:pPr>
      <w:r>
        <w:rPr>
          <w:rFonts w:hint="eastAsia" w:ascii="宋体" w:hAnsi="宋体"/>
          <w:szCs w:val="21"/>
        </w:rPr>
        <w:t>咀嚼是指用后牙（如磨牙）碾、磨或咀嚼食物的功能。吞咽是指通过口腔、咽和食道把食物和饮料以适宜的频率和速度送入胃中的功能。</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咀嚼、吞咽功能完全丧失</w:t>
            </w:r>
          </w:p>
        </w:tc>
        <w:tc>
          <w:tcPr>
            <w:tcW w:w="1296" w:type="dxa"/>
            <w:vAlign w:val="top"/>
          </w:tcPr>
          <w:p>
            <w:pPr>
              <w:widowControl/>
              <w:contextualSpacing/>
              <w:jc w:val="center"/>
              <w:rPr>
                <w:rFonts w:ascii="宋体" w:hAnsi="宋体" w:cs="宋体"/>
                <w:kern w:val="0"/>
                <w:szCs w:val="21"/>
              </w:rPr>
            </w:pPr>
            <w:r>
              <w:rPr>
                <w:rFonts w:ascii="宋体" w:hAnsi="宋体" w:cs="宋体"/>
                <w:kern w:val="0"/>
                <w:szCs w:val="21"/>
              </w:rPr>
              <w:t>1级</w:t>
            </w:r>
          </w:p>
        </w:tc>
      </w:tr>
    </w:tbl>
    <w:p>
      <w:pPr>
        <w:widowControl/>
        <w:contextualSpacing/>
        <w:jc w:val="left"/>
        <w:rPr>
          <w:rFonts w:ascii="宋体" w:hAnsi="宋体"/>
          <w:kern w:val="0"/>
          <w:szCs w:val="21"/>
        </w:rPr>
      </w:pPr>
      <w:r>
        <w:rPr>
          <w:rFonts w:hint="eastAsia" w:ascii="宋体" w:hAnsi="宋体"/>
          <w:kern w:val="0"/>
          <w:szCs w:val="21"/>
        </w:rPr>
        <w:t>注：咀嚼、吞咽功能丧失指由于牙齿以外的原因引起器质障碍或机能障碍，以致不能作咀嚼、吞咽运动，除流质食物外不能摄取或吞咽的状态。</w:t>
      </w:r>
    </w:p>
    <w:p>
      <w:pPr>
        <w:widowControl/>
        <w:numPr>
          <w:ilvl w:val="1"/>
          <w:numId w:val="1"/>
        </w:numPr>
        <w:ind w:left="0" w:firstLine="0"/>
        <w:contextualSpacing/>
        <w:jc w:val="left"/>
        <w:outlineLvl w:val="2"/>
        <w:rPr>
          <w:rFonts w:ascii="宋体" w:hAnsi="宋体"/>
          <w:b/>
          <w:bCs/>
          <w:szCs w:val="21"/>
        </w:rPr>
      </w:pPr>
      <w:bookmarkStart w:id="42" w:name="_Toc356463485"/>
      <w:r>
        <w:rPr>
          <w:rFonts w:hint="eastAsia" w:ascii="宋体" w:hAnsi="宋体"/>
          <w:b/>
          <w:bCs/>
          <w:szCs w:val="21"/>
        </w:rPr>
        <w:t>肠的结构损伤</w:t>
      </w:r>
      <w:bookmarkEnd w:id="42"/>
    </w:p>
    <w:tbl>
      <w:tblPr>
        <w:tblStyle w:val="4"/>
        <w:tblW w:w="8732" w:type="dxa"/>
        <w:jc w:val="center"/>
        <w:tblLayout w:type="fixed"/>
        <w:tblCellMar>
          <w:top w:w="0" w:type="dxa"/>
          <w:left w:w="108" w:type="dxa"/>
          <w:bottom w:w="0" w:type="dxa"/>
          <w:right w:w="108" w:type="dxa"/>
        </w:tblCellMar>
      </w:tblPr>
      <w:tblGrid>
        <w:gridCol w:w="7439"/>
        <w:gridCol w:w="1293"/>
      </w:tblGrid>
      <w:tr>
        <w:tblPrEx>
          <w:tblCellMar>
            <w:top w:w="0" w:type="dxa"/>
            <w:left w:w="108" w:type="dxa"/>
            <w:bottom w:w="0" w:type="dxa"/>
            <w:right w:w="108" w:type="dxa"/>
          </w:tblCellMar>
        </w:tblPrEx>
        <w:trPr>
          <w:trHeight w:val="157" w:hRule="atLeast"/>
          <w:jc w:val="center"/>
        </w:trPr>
        <w:tc>
          <w:tcPr>
            <w:tcW w:w="7439"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90%</w:t>
            </w:r>
          </w:p>
        </w:tc>
        <w:tc>
          <w:tcPr>
            <w:tcW w:w="1293" w:type="dxa"/>
            <w:tcBorders>
              <w:top w:val="single" w:color="auto" w:sz="4" w:space="0"/>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 xml:space="preserve">1 </w:t>
            </w:r>
            <w:r>
              <w:rPr>
                <w:rFonts w:hint="eastAsia" w:ascii="宋体" w:hAnsi="宋体" w:cs="宋体"/>
                <w:kern w:val="0"/>
                <w:szCs w:val="21"/>
              </w:rPr>
              <w:t>级</w:t>
            </w:r>
          </w:p>
        </w:tc>
      </w:tr>
      <w:tr>
        <w:tblPrEx>
          <w:tblCellMar>
            <w:top w:w="0" w:type="dxa"/>
            <w:left w:w="108" w:type="dxa"/>
            <w:bottom w:w="0" w:type="dxa"/>
            <w:right w:w="108" w:type="dxa"/>
          </w:tblCellMar>
        </w:tblPrEx>
        <w:trPr>
          <w:trHeight w:val="81" w:hRule="atLeast"/>
          <w:jc w:val="center"/>
        </w:trPr>
        <w:tc>
          <w:tcPr>
            <w:tcW w:w="7439"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75%，合并短肠综合症</w:t>
            </w:r>
          </w:p>
        </w:tc>
        <w:tc>
          <w:tcPr>
            <w:tcW w:w="1293" w:type="dxa"/>
            <w:tcBorders>
              <w:top w:val="single" w:color="auto" w:sz="4" w:space="0"/>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2级</w:t>
            </w:r>
          </w:p>
        </w:tc>
      </w:tr>
      <w:tr>
        <w:tblPrEx>
          <w:tblCellMar>
            <w:top w:w="0" w:type="dxa"/>
            <w:left w:w="108" w:type="dxa"/>
            <w:bottom w:w="0" w:type="dxa"/>
            <w:right w:w="108" w:type="dxa"/>
          </w:tblCellMar>
        </w:tblPrEx>
        <w:trPr>
          <w:trHeight w:val="185" w:hRule="atLeast"/>
          <w:jc w:val="center"/>
        </w:trPr>
        <w:tc>
          <w:tcPr>
            <w:tcW w:w="7439"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75%</w:t>
            </w:r>
          </w:p>
        </w:tc>
        <w:tc>
          <w:tcPr>
            <w:tcW w:w="1293" w:type="dxa"/>
            <w:tcBorders>
              <w:top w:val="single" w:color="auto" w:sz="4" w:space="0"/>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4级</w:t>
            </w:r>
          </w:p>
        </w:tc>
      </w:tr>
      <w:tr>
        <w:tblPrEx>
          <w:tblCellMar>
            <w:top w:w="0" w:type="dxa"/>
            <w:left w:w="108" w:type="dxa"/>
            <w:bottom w:w="0" w:type="dxa"/>
            <w:right w:w="108" w:type="dxa"/>
          </w:tblCellMar>
        </w:tblPrEx>
        <w:trPr>
          <w:trHeight w:val="135" w:hRule="atLeast"/>
          <w:jc w:val="center"/>
        </w:trPr>
        <w:tc>
          <w:tcPr>
            <w:tcW w:w="7439"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腹部或骨盆部损伤导致全结肠、直肠、肛门结构切除，回肠造瘘</w:t>
            </w:r>
          </w:p>
        </w:tc>
        <w:tc>
          <w:tcPr>
            <w:tcW w:w="1293" w:type="dxa"/>
            <w:tcBorders>
              <w:top w:val="single" w:color="auto" w:sz="4" w:space="0"/>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4级</w:t>
            </w:r>
          </w:p>
        </w:tc>
      </w:tr>
      <w:tr>
        <w:tblPrEx>
          <w:tblCellMar>
            <w:top w:w="0" w:type="dxa"/>
            <w:left w:w="108" w:type="dxa"/>
            <w:bottom w:w="0" w:type="dxa"/>
            <w:right w:w="108" w:type="dxa"/>
          </w:tblCellMar>
        </w:tblPrEx>
        <w:trPr>
          <w:trHeight w:val="64"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腹部或骨盆部损伤导致直肠、肛门切除，且结肠部分切除，结肠造瘘</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5级</w:t>
            </w:r>
          </w:p>
        </w:tc>
      </w:tr>
      <w:tr>
        <w:tblPrEx>
          <w:tblCellMar>
            <w:top w:w="0" w:type="dxa"/>
            <w:left w:w="108" w:type="dxa"/>
            <w:bottom w:w="0" w:type="dxa"/>
            <w:right w:w="108" w:type="dxa"/>
          </w:tblCellMar>
        </w:tblPrEx>
        <w:trPr>
          <w:trHeight w:val="64"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50%,且包括回盲部切除</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6级</w:t>
            </w:r>
          </w:p>
        </w:tc>
      </w:tr>
      <w:tr>
        <w:tblPrEx>
          <w:tblCellMar>
            <w:top w:w="0" w:type="dxa"/>
            <w:left w:w="108" w:type="dxa"/>
            <w:bottom w:w="0" w:type="dxa"/>
            <w:right w:w="108" w:type="dxa"/>
          </w:tblCellMar>
        </w:tblPrEx>
        <w:trPr>
          <w:trHeight w:val="113"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50%</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7级</w:t>
            </w:r>
          </w:p>
        </w:tc>
      </w:tr>
      <w:tr>
        <w:tblPrEx>
          <w:tblCellMar>
            <w:top w:w="0" w:type="dxa"/>
            <w:left w:w="108" w:type="dxa"/>
            <w:bottom w:w="0" w:type="dxa"/>
            <w:right w:w="108" w:type="dxa"/>
          </w:tblCellMar>
        </w:tblPrEx>
        <w:trPr>
          <w:trHeight w:val="207"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腹部损伤导致结肠切除大于等于</w:t>
            </w:r>
            <w:r>
              <w:rPr>
                <w:rFonts w:ascii="宋体" w:hAnsi="宋体" w:cs="宋体"/>
                <w:kern w:val="0"/>
                <w:szCs w:val="21"/>
              </w:rPr>
              <w:t>50%</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7级</w:t>
            </w:r>
          </w:p>
        </w:tc>
      </w:tr>
      <w:tr>
        <w:tblPrEx>
          <w:tblCellMar>
            <w:top w:w="0" w:type="dxa"/>
            <w:left w:w="108" w:type="dxa"/>
            <w:bottom w:w="0" w:type="dxa"/>
            <w:right w:w="108" w:type="dxa"/>
          </w:tblCellMar>
        </w:tblPrEx>
        <w:trPr>
          <w:trHeight w:val="177"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腹部损伤导致结肠部分切除</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8级</w:t>
            </w:r>
          </w:p>
        </w:tc>
      </w:tr>
      <w:tr>
        <w:tblPrEx>
          <w:tblCellMar>
            <w:top w:w="0" w:type="dxa"/>
            <w:left w:w="108" w:type="dxa"/>
            <w:bottom w:w="0" w:type="dxa"/>
            <w:right w:w="108" w:type="dxa"/>
          </w:tblCellMar>
        </w:tblPrEx>
        <w:trPr>
          <w:trHeight w:val="70"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骨盆部损伤导致直肠、肛门损伤，且遗留永久性乙状结肠造口</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9级</w:t>
            </w:r>
          </w:p>
        </w:tc>
      </w:tr>
      <w:tr>
        <w:tblPrEx>
          <w:tblCellMar>
            <w:top w:w="0" w:type="dxa"/>
            <w:left w:w="108" w:type="dxa"/>
            <w:bottom w:w="0" w:type="dxa"/>
            <w:right w:w="108" w:type="dxa"/>
          </w:tblCellMar>
        </w:tblPrEx>
        <w:trPr>
          <w:trHeight w:val="185" w:hRule="atLeast"/>
          <w:jc w:val="center"/>
        </w:trPr>
        <w:tc>
          <w:tcPr>
            <w:tcW w:w="7439"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骨盆部损伤导致直肠、肛门损伤，且瘢痕形成</w:t>
            </w:r>
          </w:p>
        </w:tc>
        <w:tc>
          <w:tcPr>
            <w:tcW w:w="1293"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43" w:name="_Toc356463486"/>
      <w:r>
        <w:rPr>
          <w:rFonts w:hint="eastAsia" w:ascii="宋体" w:hAnsi="宋体"/>
          <w:b/>
          <w:bCs/>
          <w:szCs w:val="21"/>
        </w:rPr>
        <w:t>胃结构损伤</w:t>
      </w:r>
      <w:bookmarkEnd w:id="43"/>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腹部损伤导致全胃切除</w:t>
            </w:r>
          </w:p>
        </w:tc>
        <w:tc>
          <w:tcPr>
            <w:tcW w:w="1296" w:type="dxa"/>
            <w:vAlign w:val="top"/>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腹部损伤导致胃切除大于等于</w:t>
            </w:r>
            <w:r>
              <w:rPr>
                <w:rFonts w:ascii="宋体" w:hAnsi="宋体" w:cs="宋体"/>
                <w:kern w:val="0"/>
                <w:szCs w:val="21"/>
              </w:rPr>
              <w:t>50%</w:t>
            </w:r>
          </w:p>
        </w:tc>
        <w:tc>
          <w:tcPr>
            <w:tcW w:w="1296" w:type="dxa"/>
            <w:vAlign w:val="top"/>
          </w:tcPr>
          <w:p>
            <w:pPr>
              <w:widowControl/>
              <w:contextualSpacing/>
              <w:jc w:val="center"/>
              <w:rPr>
                <w:rFonts w:ascii="宋体" w:hAnsi="宋体" w:cs="宋体"/>
                <w:kern w:val="0"/>
                <w:szCs w:val="21"/>
              </w:rPr>
            </w:pPr>
            <w:r>
              <w:rPr>
                <w:rFonts w:ascii="宋体" w:hAnsi="宋体" w:cs="宋体"/>
                <w:kern w:val="0"/>
                <w:szCs w:val="21"/>
              </w:rPr>
              <w:t>7级</w:t>
            </w:r>
          </w:p>
        </w:tc>
      </w:tr>
    </w:tbl>
    <w:p>
      <w:pPr>
        <w:widowControl/>
        <w:numPr>
          <w:ilvl w:val="1"/>
          <w:numId w:val="1"/>
        </w:numPr>
        <w:ind w:left="0" w:firstLine="0"/>
        <w:contextualSpacing/>
        <w:jc w:val="left"/>
        <w:outlineLvl w:val="2"/>
        <w:rPr>
          <w:rFonts w:ascii="宋体" w:hAnsi="宋体"/>
          <w:b/>
          <w:bCs/>
          <w:szCs w:val="21"/>
        </w:rPr>
      </w:pPr>
      <w:bookmarkStart w:id="44" w:name="_Toc356463487"/>
      <w:r>
        <w:rPr>
          <w:rFonts w:hint="eastAsia" w:ascii="宋体" w:hAnsi="宋体"/>
          <w:b/>
          <w:bCs/>
          <w:szCs w:val="21"/>
        </w:rPr>
        <w:t>胰结构损伤或代谢功能障碍</w:t>
      </w:r>
      <w:bookmarkEnd w:id="44"/>
    </w:p>
    <w:p>
      <w:pPr>
        <w:ind w:firstLine="420" w:firstLineChars="200"/>
        <w:contextualSpacing/>
        <w:rPr>
          <w:rFonts w:ascii="宋体" w:hAnsi="宋体"/>
          <w:szCs w:val="21"/>
        </w:rPr>
      </w:pPr>
      <w:r>
        <w:rPr>
          <w:rFonts w:hint="eastAsia" w:ascii="宋体" w:hAnsi="宋体"/>
          <w:szCs w:val="21"/>
        </w:rPr>
        <w:t>本标准中的代谢功能障碍是指胰岛素依赖。</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9"/>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腹部损伤导致胰完全切除</w:t>
            </w:r>
          </w:p>
        </w:tc>
        <w:tc>
          <w:tcPr>
            <w:tcW w:w="1293" w:type="dxa"/>
            <w:vAlign w:val="top"/>
          </w:tcPr>
          <w:p>
            <w:pPr>
              <w:widowControl/>
              <w:contextualSpacing/>
              <w:jc w:val="center"/>
              <w:rPr>
                <w:rFonts w:ascii="宋体" w:hAnsi="宋体" w:cs="宋体"/>
                <w:kern w:val="0"/>
                <w:szCs w:val="21"/>
              </w:rPr>
            </w:pPr>
            <w:r>
              <w:rPr>
                <w:rFonts w:ascii="宋体" w:hAnsi="宋体" w:cs="宋体"/>
                <w:kern w:val="0"/>
                <w:szCs w:val="21"/>
              </w:rPr>
              <w:t xml:space="preserve">1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腹部损伤导致胰切除大于等于</w:t>
            </w:r>
            <w:r>
              <w:rPr>
                <w:rFonts w:ascii="宋体" w:hAnsi="宋体" w:cs="宋体"/>
                <w:kern w:val="0"/>
                <w:szCs w:val="21"/>
              </w:rPr>
              <w:t>50%，且伴有胰岛素依赖</w:t>
            </w:r>
          </w:p>
        </w:tc>
        <w:tc>
          <w:tcPr>
            <w:tcW w:w="1293" w:type="dxa"/>
            <w:vAlign w:val="top"/>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腹部损伤导致胰头、十二指肠切除</w:t>
            </w:r>
          </w:p>
        </w:tc>
        <w:tc>
          <w:tcPr>
            <w:tcW w:w="1293" w:type="dxa"/>
            <w:vAlign w:val="top"/>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腹部损伤导致胰切除大于等于</w:t>
            </w:r>
            <w:r>
              <w:rPr>
                <w:rFonts w:ascii="宋体" w:hAnsi="宋体" w:cs="宋体"/>
                <w:kern w:val="0"/>
                <w:szCs w:val="21"/>
              </w:rPr>
              <w:t>50%</w:t>
            </w:r>
          </w:p>
        </w:tc>
        <w:tc>
          <w:tcPr>
            <w:tcW w:w="1293" w:type="dxa"/>
            <w:vAlign w:val="top"/>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腹部损伤导致胰部分切除</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bl>
    <w:p>
      <w:pPr>
        <w:widowControl/>
        <w:numPr>
          <w:ilvl w:val="1"/>
          <w:numId w:val="1"/>
        </w:numPr>
        <w:ind w:left="0" w:firstLine="0"/>
        <w:contextualSpacing/>
        <w:jc w:val="left"/>
        <w:outlineLvl w:val="2"/>
        <w:rPr>
          <w:rFonts w:ascii="宋体" w:hAnsi="宋体"/>
          <w:b/>
          <w:bCs/>
          <w:szCs w:val="21"/>
        </w:rPr>
      </w:pPr>
      <w:bookmarkStart w:id="45" w:name="_Toc356463488"/>
      <w:r>
        <w:rPr>
          <w:rFonts w:hint="eastAsia" w:ascii="宋体" w:hAnsi="宋体"/>
          <w:b/>
          <w:bCs/>
          <w:szCs w:val="21"/>
        </w:rPr>
        <w:t>肝结构损伤</w:t>
      </w:r>
      <w:bookmarkEnd w:id="45"/>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腹部损伤导致肝切除大于等于</w:t>
            </w:r>
            <w:r>
              <w:rPr>
                <w:rFonts w:ascii="宋体" w:hAnsi="宋体" w:cs="宋体"/>
                <w:kern w:val="0"/>
                <w:szCs w:val="21"/>
              </w:rPr>
              <w:t>75%</w:t>
            </w:r>
          </w:p>
        </w:tc>
        <w:tc>
          <w:tcPr>
            <w:tcW w:w="1296" w:type="dxa"/>
            <w:vAlign w:val="top"/>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腹部损伤导致肝切除大于等于</w:t>
            </w:r>
            <w:r>
              <w:rPr>
                <w:rFonts w:ascii="宋体" w:hAnsi="宋体" w:cs="宋体"/>
                <w:kern w:val="0"/>
                <w:szCs w:val="21"/>
              </w:rPr>
              <w:t>50%</w:t>
            </w:r>
          </w:p>
        </w:tc>
        <w:tc>
          <w:tcPr>
            <w:tcW w:w="1296" w:type="dxa"/>
            <w:vAlign w:val="top"/>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7436" w:type="dxa"/>
            <w:vAlign w:val="top"/>
          </w:tcPr>
          <w:p>
            <w:pPr>
              <w:widowControl/>
              <w:contextualSpacing/>
              <w:jc w:val="left"/>
              <w:rPr>
                <w:rFonts w:ascii="宋体" w:hAnsi="宋体" w:cs="宋体"/>
                <w:kern w:val="0"/>
                <w:szCs w:val="21"/>
              </w:rPr>
            </w:pPr>
            <w:r>
              <w:rPr>
                <w:rFonts w:hint="eastAsia" w:ascii="宋体" w:hAnsi="宋体" w:cs="宋体"/>
                <w:kern w:val="0"/>
                <w:szCs w:val="21"/>
              </w:rPr>
              <w:t>腹部损伤导致肝部分切除</w:t>
            </w:r>
          </w:p>
        </w:tc>
        <w:tc>
          <w:tcPr>
            <w:tcW w:w="1296" w:type="dxa"/>
            <w:vAlign w:val="top"/>
          </w:tcPr>
          <w:p>
            <w:pPr>
              <w:widowControl/>
              <w:contextualSpacing/>
              <w:jc w:val="center"/>
              <w:rPr>
                <w:rFonts w:ascii="宋体" w:hAnsi="宋体" w:cs="宋体"/>
                <w:kern w:val="0"/>
                <w:szCs w:val="21"/>
              </w:rPr>
            </w:pPr>
            <w:r>
              <w:rPr>
                <w:rFonts w:ascii="宋体" w:hAnsi="宋体" w:cs="宋体"/>
                <w:kern w:val="0"/>
                <w:szCs w:val="21"/>
              </w:rPr>
              <w:t>8级</w:t>
            </w:r>
          </w:p>
        </w:tc>
      </w:tr>
    </w:tbl>
    <w:p>
      <w:pPr>
        <w:widowControl/>
        <w:numPr>
          <w:ilvl w:val="0"/>
          <w:numId w:val="1"/>
        </w:numPr>
        <w:contextualSpacing/>
        <w:jc w:val="left"/>
        <w:outlineLvl w:val="1"/>
        <w:rPr>
          <w:rFonts w:ascii="宋体" w:hAnsi="宋体"/>
          <w:b/>
          <w:bCs/>
          <w:szCs w:val="21"/>
        </w:rPr>
      </w:pPr>
      <w:bookmarkStart w:id="46" w:name="_Toc356463489"/>
      <w:r>
        <w:rPr>
          <w:rFonts w:hint="eastAsia" w:ascii="宋体" w:hAnsi="宋体"/>
          <w:b/>
          <w:bCs/>
          <w:szCs w:val="21"/>
        </w:rPr>
        <w:t>泌尿和生殖系统有关的结构和功能</w:t>
      </w:r>
      <w:bookmarkEnd w:id="46"/>
    </w:p>
    <w:p>
      <w:pPr>
        <w:widowControl/>
        <w:numPr>
          <w:ilvl w:val="1"/>
          <w:numId w:val="1"/>
        </w:numPr>
        <w:ind w:left="0" w:firstLine="0"/>
        <w:contextualSpacing/>
        <w:jc w:val="left"/>
        <w:outlineLvl w:val="2"/>
        <w:rPr>
          <w:rFonts w:ascii="宋体" w:hAnsi="宋体"/>
          <w:b/>
          <w:bCs/>
          <w:szCs w:val="21"/>
        </w:rPr>
      </w:pPr>
      <w:bookmarkStart w:id="47" w:name="OLE_LINK17"/>
      <w:bookmarkStart w:id="48" w:name="_Toc356463490"/>
      <w:r>
        <w:rPr>
          <w:rFonts w:hint="eastAsia" w:ascii="宋体" w:hAnsi="宋体"/>
          <w:b/>
          <w:bCs/>
          <w:szCs w:val="21"/>
        </w:rPr>
        <w:t>泌尿系统</w:t>
      </w:r>
      <w:bookmarkEnd w:id="47"/>
      <w:r>
        <w:rPr>
          <w:rFonts w:hint="eastAsia" w:ascii="宋体" w:hAnsi="宋体"/>
          <w:b/>
          <w:bCs/>
          <w:szCs w:val="21"/>
        </w:rPr>
        <w:t>的结构损伤</w:t>
      </w:r>
      <w:bookmarkEnd w:id="48"/>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7"/>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腹部损伤导致双侧肾切除</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腹部损伤导致孤肾切除</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骨盆部损伤导致双侧输尿管缺失</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骨盆部损伤导致双侧输尿管闭锁</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hint="eastAsia" w:ascii="宋体" w:hAnsi="宋体" w:cs="宋体"/>
                <w:kern w:val="0"/>
                <w:szCs w:val="21"/>
              </w:rPr>
            </w:pPr>
            <w:r>
              <w:rPr>
                <w:rFonts w:hint="eastAsia" w:ascii="宋体" w:hAnsi="宋体" w:cs="宋体"/>
                <w:kern w:val="0"/>
                <w:szCs w:val="21"/>
              </w:rPr>
              <w:t>骨盆部损伤导致一侧输尿管缺失，另一侧输尿管闭锁</w:t>
            </w:r>
            <w:r>
              <w:rPr>
                <w:rFonts w:ascii="宋体" w:hAnsi="宋体" w:cs="宋体"/>
                <w:kern w:val="0"/>
                <w:szCs w:val="21"/>
              </w:rPr>
              <w:tab/>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骨盆部损伤导致膀胱切除</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骨盆部损伤导致尿道闭锁</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5</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骨盆部损伤导致一侧输尿管缺失，另一侧输尿管严重狭窄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骨盆部损伤导致一侧输尿管闭锁，另一侧输尿管严重狭窄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腹部损伤导致一侧肾切除</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骨盆部损伤导致双侧输尿管严重狭窄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骨盆部损伤导致一侧输尿管缺失，另一侧输尿管狭窄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骨盆部损伤导致一侧输尿管闭锁，另一侧输尿管狭窄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腹部损伤导致一侧肾部分切除</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骨盆部损伤导致一侧输尿管闭锁</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骨盆部损伤导致尿道狭窄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骨盆部损伤导致膀胱部分切除</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腹部损伤导致肾破裂修补</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骨盆部损伤导致一侧输尿管严重狭窄</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7" w:type="dxa"/>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骨盆部损伤导致膀胱破裂修补</w:t>
            </w:r>
          </w:p>
        </w:tc>
        <w:tc>
          <w:tcPr>
            <w:tcW w:w="1295"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49" w:name="_Toc356463491"/>
      <w:r>
        <w:rPr>
          <w:rFonts w:hint="eastAsia" w:ascii="宋体" w:hAnsi="宋体"/>
          <w:b/>
          <w:bCs/>
          <w:szCs w:val="21"/>
        </w:rPr>
        <w:t>生殖系统的结构损伤</w:t>
      </w:r>
      <w:bookmarkEnd w:id="49"/>
    </w:p>
    <w:tbl>
      <w:tblPr>
        <w:tblStyle w:val="4"/>
        <w:tblW w:w="8732" w:type="dxa"/>
        <w:jc w:val="center"/>
        <w:tblLayout w:type="fixed"/>
        <w:tblCellMar>
          <w:top w:w="0" w:type="dxa"/>
          <w:left w:w="108" w:type="dxa"/>
          <w:bottom w:w="0" w:type="dxa"/>
          <w:right w:w="108" w:type="dxa"/>
        </w:tblCellMar>
      </w:tblPr>
      <w:tblGrid>
        <w:gridCol w:w="7437"/>
        <w:gridCol w:w="1295"/>
      </w:tblGrid>
      <w:tr>
        <w:tblPrEx>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会阴部损伤导致双侧睾丸缺失</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CellMar>
            <w:top w:w="0" w:type="dxa"/>
            <w:left w:w="108" w:type="dxa"/>
            <w:bottom w:w="0" w:type="dxa"/>
            <w:right w:w="108" w:type="dxa"/>
          </w:tblCellMar>
        </w:tblPrEx>
        <w:trPr>
          <w:trHeight w:val="275"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会阴部损伤导致双侧睾丸完全萎缩</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CellMar>
            <w:top w:w="0" w:type="dxa"/>
            <w:left w:w="108" w:type="dxa"/>
            <w:bottom w:w="0" w:type="dxa"/>
            <w:right w:w="108" w:type="dxa"/>
          </w:tblCellMar>
        </w:tblPrEx>
        <w:trPr>
          <w:trHeight w:val="275"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hint="eastAsia" w:ascii="宋体" w:hAnsi="宋体" w:cs="宋体"/>
                <w:kern w:val="0"/>
                <w:szCs w:val="21"/>
              </w:rPr>
            </w:pPr>
            <w:r>
              <w:rPr>
                <w:rFonts w:hint="eastAsia" w:ascii="宋体" w:hAnsi="宋体" w:cs="宋体"/>
                <w:kern w:val="0"/>
                <w:szCs w:val="21"/>
              </w:rPr>
              <w:t>会阴部损伤导致一侧睾丸缺失，另一侧睾丸完全萎缩</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会阴部损伤导致阴茎体完全缺失</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会阴部损伤导致阴道闭锁</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会阴部损伤导致阴茎体缺失大于</w:t>
            </w:r>
            <w:r>
              <w:rPr>
                <w:rFonts w:ascii="宋体" w:hAnsi="宋体" w:cs="宋体"/>
                <w:kern w:val="0"/>
                <w:szCs w:val="21"/>
              </w:rPr>
              <w:t>50%</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会阴部损伤导致双侧输精管缺失</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会阴部损伤导致双侧输精管闭锁</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hint="eastAsia" w:ascii="宋体" w:hAnsi="宋体" w:cs="宋体"/>
                <w:kern w:val="0"/>
                <w:szCs w:val="21"/>
              </w:rPr>
            </w:pPr>
            <w:r>
              <w:rPr>
                <w:rFonts w:hint="eastAsia" w:ascii="宋体" w:hAnsi="宋体" w:cs="宋体"/>
                <w:kern w:val="0"/>
                <w:szCs w:val="21"/>
              </w:rPr>
              <w:t>会阴部损伤导致一侧输精管缺失，另一侧输精管闭锁</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胸部损伤导致女性双侧乳房缺失</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CellMar>
            <w:top w:w="0" w:type="dxa"/>
            <w:left w:w="108" w:type="dxa"/>
            <w:bottom w:w="0" w:type="dxa"/>
            <w:right w:w="108" w:type="dxa"/>
          </w:tblCellMar>
        </w:tblPrEx>
        <w:trPr>
          <w:trHeight w:val="196"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骨盆部损伤导致子宫切除</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CellMar>
            <w:top w:w="0" w:type="dxa"/>
            <w:left w:w="108" w:type="dxa"/>
            <w:bottom w:w="0" w:type="dxa"/>
            <w:right w:w="108" w:type="dxa"/>
          </w:tblCellMar>
        </w:tblPrEx>
        <w:trPr>
          <w:trHeight w:val="87"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胸部损伤导致女性一侧乳房缺失，另一侧乳房部分缺失</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胸部损伤导致女性一侧乳房缺失</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CellMar>
            <w:top w:w="0" w:type="dxa"/>
            <w:left w:w="108" w:type="dxa"/>
            <w:bottom w:w="0" w:type="dxa"/>
            <w:right w:w="108" w:type="dxa"/>
          </w:tblCellMar>
        </w:tblPrEx>
        <w:trPr>
          <w:trHeight w:val="64" w:hRule="atLeast"/>
          <w:jc w:val="center"/>
        </w:trPr>
        <w:tc>
          <w:tcPr>
            <w:tcW w:w="7437"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骨盆部损伤导致子宫部分切除</w:t>
            </w:r>
          </w:p>
        </w:tc>
        <w:tc>
          <w:tcPr>
            <w:tcW w:w="1295"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CellMar>
            <w:top w:w="0" w:type="dxa"/>
            <w:left w:w="108" w:type="dxa"/>
            <w:bottom w:w="0" w:type="dxa"/>
            <w:right w:w="108" w:type="dxa"/>
          </w:tblCellMar>
        </w:tblPrEx>
        <w:trPr>
          <w:trHeight w:val="64" w:hRule="atLeast"/>
          <w:jc w:val="center"/>
        </w:trPr>
        <w:tc>
          <w:tcPr>
            <w:tcW w:w="7437"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骨盆部损伤导致子宫破裂修补</w:t>
            </w:r>
          </w:p>
        </w:tc>
        <w:tc>
          <w:tcPr>
            <w:tcW w:w="1295" w:type="dxa"/>
            <w:tcBorders>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会阴部损伤导致一侧睾丸缺失</w:t>
            </w:r>
          </w:p>
        </w:tc>
        <w:tc>
          <w:tcPr>
            <w:tcW w:w="1295"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会阴部损伤导致一侧睾丸完全萎缩</w:t>
            </w:r>
          </w:p>
        </w:tc>
        <w:tc>
          <w:tcPr>
            <w:tcW w:w="1295" w:type="dxa"/>
            <w:tcBorders>
              <w:top w:val="nil"/>
              <w:left w:val="nil"/>
              <w:bottom w:val="single" w:color="auto" w:sz="4" w:space="0"/>
              <w:right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10级</w:t>
            </w:r>
          </w:p>
        </w:tc>
      </w:tr>
      <w:tr>
        <w:tblPrEx>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会阴部损伤导致一侧输精管缺失</w:t>
            </w:r>
          </w:p>
        </w:tc>
        <w:tc>
          <w:tcPr>
            <w:tcW w:w="1295"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会阴部损伤导致一侧输精管闭锁</w:t>
            </w:r>
          </w:p>
        </w:tc>
        <w:tc>
          <w:tcPr>
            <w:tcW w:w="1295"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0"/>
          <w:numId w:val="1"/>
        </w:numPr>
        <w:contextualSpacing/>
        <w:jc w:val="left"/>
        <w:outlineLvl w:val="1"/>
        <w:rPr>
          <w:rFonts w:ascii="宋体" w:hAnsi="宋体"/>
          <w:b/>
          <w:bCs/>
          <w:szCs w:val="21"/>
        </w:rPr>
      </w:pPr>
      <w:bookmarkStart w:id="50" w:name="_Toc356463492"/>
      <w:r>
        <w:rPr>
          <w:rFonts w:hint="eastAsia" w:ascii="宋体" w:hAnsi="宋体"/>
          <w:b/>
          <w:bCs/>
          <w:szCs w:val="21"/>
        </w:rPr>
        <w:t>神经肌肉骨骼和运动有关的结构和功能</w:t>
      </w:r>
      <w:bookmarkEnd w:id="50"/>
    </w:p>
    <w:p>
      <w:pPr>
        <w:widowControl/>
        <w:numPr>
          <w:ilvl w:val="1"/>
          <w:numId w:val="1"/>
        </w:numPr>
        <w:ind w:left="0" w:firstLine="0"/>
        <w:contextualSpacing/>
        <w:jc w:val="left"/>
        <w:outlineLvl w:val="2"/>
        <w:rPr>
          <w:rFonts w:ascii="宋体" w:hAnsi="宋体"/>
          <w:b/>
          <w:bCs/>
          <w:szCs w:val="21"/>
        </w:rPr>
      </w:pPr>
      <w:bookmarkStart w:id="51" w:name="_Toc356463493"/>
      <w:r>
        <w:rPr>
          <w:rFonts w:hint="eastAsia" w:ascii="宋体" w:hAnsi="宋体"/>
          <w:b/>
          <w:bCs/>
          <w:szCs w:val="21"/>
        </w:rPr>
        <w:t>头颈部的结构损伤</w:t>
      </w:r>
      <w:bookmarkEnd w:id="51"/>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9"/>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双侧上颌骨完全缺失</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双侧下颌骨完全缺失</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一侧上颌骨及对侧下颌骨完全缺失</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同侧上、下颌骨完全缺失</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24枚</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一侧上颌骨完全缺失</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一侧下颌骨完全缺失</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一侧上颌骨缺损大于等于</w:t>
            </w:r>
            <w:r>
              <w:rPr>
                <w:rFonts w:ascii="宋体" w:hAnsi="宋体" w:cs="宋体"/>
                <w:kern w:val="0"/>
                <w:szCs w:val="21"/>
              </w:rPr>
              <w:t>50%，且口腔、颜面部软组织缺损大于20cm</w:t>
            </w:r>
            <w:r>
              <w:rPr>
                <w:rFonts w:ascii="宋体" w:hAnsi="宋体" w:cs="宋体"/>
                <w:kern w:val="0"/>
                <w:szCs w:val="21"/>
                <w:vertAlign w:val="superscript"/>
              </w:rPr>
              <w:t>2</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一侧下颌骨缺损大于等于</w:t>
            </w:r>
            <w:r>
              <w:rPr>
                <w:rFonts w:ascii="宋体" w:hAnsi="宋体" w:cs="宋体"/>
                <w:kern w:val="0"/>
                <w:szCs w:val="21"/>
              </w:rPr>
              <w:t>6cm，且口腔、颜面部软组织缺损大于20cm</w:t>
            </w:r>
            <w:r>
              <w:rPr>
                <w:rFonts w:ascii="宋体" w:hAnsi="宋体" w:cs="宋体"/>
                <w:kern w:val="0"/>
                <w:szCs w:val="21"/>
                <w:vertAlign w:val="superscript"/>
              </w:rPr>
              <w:t>2</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面颊部洞穿性缺损大于</w:t>
            </w:r>
            <w:r>
              <w:rPr>
                <w:rFonts w:ascii="宋体" w:hAnsi="宋体" w:cs="宋体"/>
                <w:kern w:val="0"/>
                <w:szCs w:val="21"/>
              </w:rPr>
              <w:t>20cm</w:t>
            </w:r>
            <w:r>
              <w:rPr>
                <w:rFonts w:ascii="宋体" w:hAnsi="宋体" w:cs="宋体"/>
                <w:kern w:val="0"/>
                <w:szCs w:val="21"/>
                <w:vertAlign w:val="superscript"/>
              </w:rPr>
              <w:t>2</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20枚</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一侧上颌骨缺损大于</w:t>
            </w:r>
            <w:r>
              <w:rPr>
                <w:rFonts w:ascii="宋体" w:hAnsi="宋体" w:cs="宋体"/>
                <w:kern w:val="0"/>
                <w:szCs w:val="21"/>
              </w:rPr>
              <w:t>25%，小于50%，且口腔、颜面部软组织缺损大于10cm</w:t>
            </w:r>
            <w:r>
              <w:rPr>
                <w:rFonts w:ascii="宋体" w:hAnsi="宋体" w:cs="宋体"/>
                <w:kern w:val="0"/>
                <w:szCs w:val="21"/>
                <w:vertAlign w:val="superscript"/>
              </w:rPr>
              <w:t>2</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一侧下颌骨缺损大于等于</w:t>
            </w:r>
            <w:r>
              <w:rPr>
                <w:rFonts w:ascii="宋体" w:hAnsi="宋体" w:cs="宋体"/>
                <w:kern w:val="0"/>
                <w:szCs w:val="21"/>
              </w:rPr>
              <w:t>4cm，且口腔、颜面部软组织缺损大于10cm</w:t>
            </w:r>
            <w:r>
              <w:rPr>
                <w:rFonts w:ascii="宋体" w:hAnsi="宋体" w:cs="宋体"/>
                <w:kern w:val="0"/>
                <w:szCs w:val="21"/>
                <w:vertAlign w:val="superscript"/>
              </w:rPr>
              <w:t>2</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一侧上颌骨缺损等于</w:t>
            </w:r>
            <w:r>
              <w:rPr>
                <w:rFonts w:ascii="宋体" w:hAnsi="宋体" w:cs="宋体"/>
                <w:kern w:val="0"/>
                <w:szCs w:val="21"/>
              </w:rPr>
              <w:t>25%，且口腔、颜面部软组织缺损大于10cm</w:t>
            </w:r>
            <w:r>
              <w:rPr>
                <w:rFonts w:ascii="宋体" w:hAnsi="宋体" w:cs="宋体"/>
                <w:kern w:val="0"/>
                <w:szCs w:val="21"/>
                <w:vertAlign w:val="superscript"/>
              </w:rPr>
              <w:t>2</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面部软组织缺损大于</w:t>
            </w:r>
            <w:r>
              <w:rPr>
                <w:rFonts w:ascii="宋体" w:hAnsi="宋体" w:cs="宋体"/>
                <w:kern w:val="0"/>
                <w:szCs w:val="21"/>
              </w:rPr>
              <w:t>20cm</w:t>
            </w:r>
            <w:r>
              <w:rPr>
                <w:rFonts w:ascii="宋体" w:hAnsi="宋体" w:cs="宋体"/>
                <w:kern w:val="0"/>
                <w:szCs w:val="21"/>
                <w:vertAlign w:val="superscript"/>
              </w:rPr>
              <w:t>2</w:t>
            </w:r>
            <w:r>
              <w:rPr>
                <w:rFonts w:hint="eastAsia" w:ascii="宋体" w:hAnsi="宋体" w:cs="宋体"/>
                <w:kern w:val="0"/>
                <w:szCs w:val="21"/>
              </w:rPr>
              <w:t>，且伴发涎瘘</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16枚</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12枚</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8枚</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4枚</w:t>
            </w:r>
          </w:p>
        </w:tc>
        <w:tc>
          <w:tcPr>
            <w:tcW w:w="1293"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9" w:type="dxa"/>
            <w:vAlign w:val="top"/>
          </w:tcPr>
          <w:p>
            <w:pPr>
              <w:widowControl/>
              <w:contextualSpacing/>
              <w:jc w:val="left"/>
              <w:rPr>
                <w:rFonts w:ascii="宋体" w:hAnsi="宋体" w:cs="宋体"/>
                <w:kern w:val="0"/>
                <w:szCs w:val="21"/>
              </w:rPr>
            </w:pPr>
            <w:r>
              <w:rPr>
                <w:rFonts w:hint="eastAsia" w:ascii="宋体" w:hAnsi="宋体" w:cs="宋体"/>
                <w:kern w:val="0"/>
                <w:szCs w:val="21"/>
              </w:rPr>
              <w:t>颅骨缺损大于等于</w:t>
            </w:r>
            <w:r>
              <w:rPr>
                <w:rFonts w:ascii="宋体" w:hAnsi="宋体" w:cs="宋体"/>
                <w:kern w:val="0"/>
                <w:szCs w:val="21"/>
              </w:rPr>
              <w:t>6cm</w:t>
            </w:r>
            <w:r>
              <w:rPr>
                <w:rFonts w:ascii="宋体" w:hAnsi="宋体" w:cs="宋体"/>
                <w:kern w:val="0"/>
                <w:szCs w:val="21"/>
                <w:vertAlign w:val="superscript"/>
              </w:rPr>
              <w:t>2</w:t>
            </w:r>
          </w:p>
        </w:tc>
        <w:tc>
          <w:tcPr>
            <w:tcW w:w="1293" w:type="dxa"/>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52" w:name="_Toc356463494"/>
      <w:r>
        <w:rPr>
          <w:rFonts w:hint="eastAsia" w:ascii="宋体" w:hAnsi="宋体"/>
          <w:b/>
          <w:bCs/>
          <w:szCs w:val="21"/>
        </w:rPr>
        <w:t>头颈部关节功能障碍</w:t>
      </w:r>
      <w:bookmarkEnd w:id="52"/>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7434" w:type="dxa"/>
            <w:vAlign w:val="center"/>
          </w:tcPr>
          <w:p>
            <w:pPr>
              <w:widowControl/>
              <w:contextualSpacing/>
              <w:jc w:val="left"/>
              <w:rPr>
                <w:rFonts w:ascii="宋体" w:hAnsi="宋体" w:cs="宋体"/>
                <w:kern w:val="0"/>
                <w:szCs w:val="21"/>
              </w:rPr>
            </w:pPr>
            <w:r>
              <w:rPr>
                <w:rFonts w:hint="eastAsia" w:ascii="宋体" w:hAnsi="宋体" w:cs="宋体"/>
                <w:kern w:val="0"/>
                <w:szCs w:val="21"/>
              </w:rPr>
              <w:t>单侧颞下颌关节强直，张口困难Ⅲ度</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7434" w:type="dxa"/>
            <w:vAlign w:val="center"/>
          </w:tcPr>
          <w:p>
            <w:pPr>
              <w:widowControl/>
              <w:contextualSpacing/>
              <w:jc w:val="left"/>
              <w:rPr>
                <w:rFonts w:ascii="宋体" w:hAnsi="宋体" w:cs="宋体"/>
                <w:kern w:val="0"/>
                <w:szCs w:val="21"/>
              </w:rPr>
            </w:pPr>
            <w:r>
              <w:rPr>
                <w:rFonts w:hint="eastAsia" w:ascii="宋体" w:hAnsi="宋体" w:cs="宋体"/>
                <w:kern w:val="0"/>
                <w:szCs w:val="21"/>
              </w:rPr>
              <w:t>双侧颞下颌关节强直，张口困难Ⅲ度</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4" w:type="dxa"/>
            <w:vAlign w:val="center"/>
          </w:tcPr>
          <w:p>
            <w:pPr>
              <w:widowControl/>
              <w:contextualSpacing/>
              <w:jc w:val="left"/>
              <w:rPr>
                <w:rFonts w:ascii="宋体" w:hAnsi="宋体" w:cs="宋体"/>
                <w:kern w:val="0"/>
                <w:szCs w:val="21"/>
              </w:rPr>
            </w:pPr>
            <w:r>
              <w:rPr>
                <w:rFonts w:hint="eastAsia" w:ascii="宋体" w:hAnsi="宋体" w:cs="宋体"/>
                <w:kern w:val="0"/>
                <w:szCs w:val="21"/>
              </w:rPr>
              <w:t>双侧颞下颌关节强直，张口困难Ⅱ度</w:t>
            </w:r>
            <w:r>
              <w:rPr>
                <w:rFonts w:ascii="宋体" w:hAnsi="宋体" w:cs="宋体"/>
                <w:kern w:val="0"/>
                <w:szCs w:val="21"/>
              </w:rPr>
              <w:t xml:space="preserve"> </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7434" w:type="dxa"/>
            <w:vAlign w:val="center"/>
          </w:tcPr>
          <w:p>
            <w:pPr>
              <w:widowControl/>
              <w:contextualSpacing/>
              <w:jc w:val="left"/>
              <w:rPr>
                <w:rFonts w:ascii="宋体" w:hAnsi="宋体" w:cs="宋体"/>
                <w:kern w:val="0"/>
                <w:szCs w:val="21"/>
              </w:rPr>
            </w:pPr>
            <w:r>
              <w:rPr>
                <w:rFonts w:hint="eastAsia" w:ascii="宋体" w:hAnsi="宋体" w:cs="宋体"/>
                <w:kern w:val="0"/>
                <w:szCs w:val="21"/>
              </w:rPr>
              <w:t>一侧颞下颌关节强直，张口困难</w:t>
            </w:r>
            <w:r>
              <w:rPr>
                <w:rFonts w:ascii="宋体" w:hAnsi="宋体" w:cs="宋体"/>
                <w:kern w:val="0"/>
                <w:szCs w:val="21"/>
              </w:rPr>
              <w:t>I度</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rPr>
      </w:pPr>
      <w:r>
        <w:rPr>
          <w:rFonts w:hint="eastAsia" w:ascii="宋体" w:hAnsi="宋体"/>
          <w:kern w:val="0"/>
          <w:szCs w:val="21"/>
        </w:rPr>
        <w:t>注：张口困难判定及测量方法是以患者自身的食指、中指、无名指并列垂直置入上、下中切牙切缘间测量。正常张口度指张口时上述三指可垂直置入上、下切牙切缘间（相当于</w:t>
      </w:r>
      <w:r>
        <w:rPr>
          <w:rFonts w:ascii="宋体" w:hAnsi="宋体"/>
          <w:kern w:val="0"/>
          <w:szCs w:val="21"/>
        </w:rPr>
        <w:t>4.5cm左右）；张口困难</w:t>
      </w:r>
      <w:r>
        <w:rPr>
          <w:rFonts w:ascii="宋体" w:hAnsi="宋体" w:cs="宋体"/>
          <w:kern w:val="0"/>
          <w:szCs w:val="21"/>
        </w:rPr>
        <w:t>I</w:t>
      </w:r>
      <w:r>
        <w:rPr>
          <w:rFonts w:ascii="宋体" w:hAnsi="宋体"/>
          <w:kern w:val="0"/>
          <w:szCs w:val="21"/>
        </w:rPr>
        <w:t>度指大张口时，只能垂直置</w:t>
      </w:r>
      <w:r>
        <w:rPr>
          <w:rFonts w:hint="eastAsia" w:ascii="宋体" w:hAnsi="宋体"/>
          <w:kern w:val="0"/>
          <w:szCs w:val="21"/>
        </w:rPr>
        <w:t>入</w:t>
      </w:r>
      <w:r>
        <w:rPr>
          <w:rFonts w:ascii="宋体" w:hAnsi="宋体"/>
          <w:kern w:val="0"/>
          <w:szCs w:val="21"/>
        </w:rPr>
        <w:t>食指和中指（相当于3cm左右）；张口困难</w:t>
      </w:r>
      <w:r>
        <w:rPr>
          <w:rFonts w:hint="eastAsia" w:ascii="宋体" w:hAnsi="宋体" w:cs="宋体"/>
          <w:kern w:val="0"/>
          <w:szCs w:val="21"/>
        </w:rPr>
        <w:t>Ⅱ</w:t>
      </w:r>
      <w:r>
        <w:rPr>
          <w:rFonts w:ascii="宋体" w:hAnsi="宋体"/>
          <w:kern w:val="0"/>
          <w:szCs w:val="21"/>
        </w:rPr>
        <w:t>度指大张口时，只能垂直置</w:t>
      </w:r>
      <w:r>
        <w:rPr>
          <w:rFonts w:hint="eastAsia" w:ascii="宋体" w:hAnsi="宋体"/>
          <w:kern w:val="0"/>
          <w:szCs w:val="21"/>
        </w:rPr>
        <w:t>入</w:t>
      </w:r>
      <w:r>
        <w:rPr>
          <w:rFonts w:ascii="宋体" w:hAnsi="宋体"/>
          <w:kern w:val="0"/>
          <w:szCs w:val="21"/>
        </w:rPr>
        <w:t>食指（相当于1.7cm左右</w:t>
      </w:r>
      <w:r>
        <w:rPr>
          <w:rFonts w:hint="eastAsia" w:ascii="宋体" w:hAnsi="宋体"/>
          <w:kern w:val="0"/>
          <w:szCs w:val="21"/>
        </w:rPr>
        <w:t>）；张口困难</w:t>
      </w:r>
      <w:r>
        <w:rPr>
          <w:rFonts w:hint="eastAsia" w:ascii="宋体" w:hAnsi="宋体" w:cs="宋体"/>
          <w:kern w:val="0"/>
          <w:szCs w:val="21"/>
        </w:rPr>
        <w:t>Ⅲ</w:t>
      </w:r>
      <w:r>
        <w:rPr>
          <w:rFonts w:ascii="宋体" w:hAnsi="宋体"/>
          <w:kern w:val="0"/>
          <w:szCs w:val="21"/>
        </w:rPr>
        <w:t>度指大张口时，上、下切牙间距小于食指之横径。</w:t>
      </w:r>
    </w:p>
    <w:p>
      <w:pPr>
        <w:widowControl/>
        <w:numPr>
          <w:ilvl w:val="1"/>
          <w:numId w:val="1"/>
        </w:numPr>
        <w:ind w:left="0" w:firstLine="0"/>
        <w:contextualSpacing/>
        <w:jc w:val="left"/>
        <w:outlineLvl w:val="2"/>
        <w:rPr>
          <w:rFonts w:ascii="宋体" w:hAnsi="宋体"/>
          <w:b/>
          <w:bCs/>
          <w:szCs w:val="21"/>
        </w:rPr>
      </w:pPr>
      <w:bookmarkStart w:id="53" w:name="_Toc356463495"/>
      <w:r>
        <w:rPr>
          <w:rFonts w:hint="eastAsia" w:ascii="宋体" w:hAnsi="宋体"/>
          <w:b/>
          <w:bCs/>
          <w:szCs w:val="21"/>
        </w:rPr>
        <w:t>上肢的结构损伤，手功能或关节功能障碍</w:t>
      </w:r>
      <w:bookmarkEnd w:id="53"/>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双手完全缺失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双手完全丧失功能</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443" w:type="dxa"/>
            <w:vAlign w:val="center"/>
          </w:tcPr>
          <w:p>
            <w:pPr>
              <w:widowControl/>
              <w:contextualSpacing/>
              <w:jc w:val="left"/>
              <w:rPr>
                <w:rFonts w:hint="eastAsia" w:ascii="宋体" w:hAnsi="宋体" w:cs="宋体"/>
                <w:kern w:val="0"/>
                <w:szCs w:val="21"/>
              </w:rPr>
            </w:pPr>
            <w:r>
              <w:rPr>
                <w:rFonts w:hint="eastAsia" w:ascii="宋体" w:hAnsi="宋体" w:cs="宋体"/>
                <w:kern w:val="0"/>
                <w:szCs w:val="21"/>
              </w:rPr>
              <w:t>一手完全缺失，另一手完全丧失功能</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4</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90%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70%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双手缺失（或丧失功能）大于等于5</w:t>
            </w:r>
            <w:r>
              <w:rPr>
                <w:rFonts w:ascii="宋体" w:hAnsi="宋体" w:cs="宋体"/>
                <w:kern w:val="0"/>
                <w:szCs w:val="21"/>
              </w:rPr>
              <w:t>0%</w:t>
            </w:r>
          </w:p>
        </w:tc>
        <w:tc>
          <w:tcPr>
            <w:tcW w:w="1289" w:type="dxa"/>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一上肢三大关节中，有两个关节完全丧失功能</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一上肢三大关节中，有一个关节完全丧失功能</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30%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10%</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双上肢长度相差大于等于</w:t>
            </w:r>
            <w:r>
              <w:rPr>
                <w:rFonts w:ascii="宋体" w:hAnsi="宋体" w:cs="宋体"/>
                <w:kern w:val="0"/>
                <w:szCs w:val="21"/>
              </w:rPr>
              <w:t>10cm</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9</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7443" w:type="dxa"/>
            <w:vAlign w:val="center"/>
          </w:tcPr>
          <w:p>
            <w:pPr>
              <w:widowControl/>
              <w:contextualSpacing/>
              <w:jc w:val="left"/>
              <w:rPr>
                <w:rFonts w:ascii="宋体" w:hAnsi="宋体" w:cs="宋体"/>
                <w:kern w:val="0"/>
                <w:szCs w:val="21"/>
              </w:rPr>
            </w:pPr>
            <w:r>
              <w:rPr>
                <w:rFonts w:hint="eastAsia" w:ascii="宋体" w:hAnsi="宋体" w:cs="宋体"/>
                <w:kern w:val="0"/>
                <w:szCs w:val="21"/>
              </w:rPr>
              <w:t>双上肢长度相差大于等于</w:t>
            </w:r>
            <w:r>
              <w:rPr>
                <w:rFonts w:ascii="宋体" w:hAnsi="宋体" w:cs="宋体"/>
                <w:kern w:val="0"/>
                <w:szCs w:val="21"/>
              </w:rPr>
              <w:t>4cm</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trPr>
        <w:tc>
          <w:tcPr>
            <w:tcW w:w="7443" w:type="dxa"/>
            <w:vAlign w:val="top"/>
          </w:tcPr>
          <w:p>
            <w:pPr>
              <w:widowControl/>
              <w:contextualSpacing/>
              <w:jc w:val="left"/>
              <w:rPr>
                <w:rFonts w:ascii="宋体" w:hAnsi="宋体" w:cs="宋体"/>
                <w:kern w:val="0"/>
                <w:szCs w:val="21"/>
              </w:rPr>
            </w:pPr>
            <w:r>
              <w:rPr>
                <w:rFonts w:hint="eastAsia" w:ascii="宋体" w:hAnsi="宋体" w:cs="宋体"/>
                <w:kern w:val="0"/>
                <w:szCs w:val="21"/>
              </w:rPr>
              <w:t>一上肢三大关节中，因骨折累及关节面导致一个关节功能部分丧失</w:t>
            </w:r>
          </w:p>
        </w:tc>
        <w:tc>
          <w:tcPr>
            <w:tcW w:w="1289"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rPr>
      </w:pPr>
      <w:r>
        <w:rPr>
          <w:rFonts w:hint="eastAsia" w:ascii="宋体" w:hAnsi="宋体"/>
          <w:kern w:val="0"/>
          <w:szCs w:val="21"/>
        </w:rPr>
        <w:t>注：手缺失和丧失功能的计算：</w:t>
      </w:r>
      <w:bookmarkStart w:id="54" w:name="OLE_LINK28"/>
      <w:bookmarkStart w:id="55" w:name="OLE_LINK29"/>
      <w:r>
        <w:rPr>
          <w:rFonts w:hint="eastAsia" w:ascii="宋体" w:hAnsi="宋体"/>
          <w:kern w:val="0"/>
          <w:szCs w:val="21"/>
        </w:rPr>
        <w:t>一手拇指占一手功能的</w:t>
      </w:r>
      <w:r>
        <w:rPr>
          <w:rFonts w:ascii="宋体" w:hAnsi="宋体"/>
          <w:kern w:val="0"/>
          <w:szCs w:val="21"/>
        </w:rPr>
        <w:t>36%，其中末节和近节指节各占18%；食指、中指各占一手功能的18%，其中末节</w:t>
      </w:r>
      <w:r>
        <w:rPr>
          <w:rFonts w:hint="eastAsia" w:ascii="宋体" w:hAnsi="宋体"/>
          <w:kern w:val="0"/>
          <w:szCs w:val="21"/>
        </w:rPr>
        <w:t>指节占</w:t>
      </w:r>
      <w:r>
        <w:rPr>
          <w:rFonts w:ascii="宋体" w:hAnsi="宋体"/>
          <w:kern w:val="0"/>
          <w:szCs w:val="21"/>
        </w:rPr>
        <w:t>8%，中节</w:t>
      </w:r>
      <w:r>
        <w:rPr>
          <w:rFonts w:hint="eastAsia" w:ascii="宋体" w:hAnsi="宋体"/>
          <w:kern w:val="0"/>
          <w:szCs w:val="21"/>
        </w:rPr>
        <w:t>指节占</w:t>
      </w:r>
      <w:r>
        <w:rPr>
          <w:rFonts w:ascii="宋体" w:hAnsi="宋体"/>
          <w:kern w:val="0"/>
          <w:szCs w:val="21"/>
        </w:rPr>
        <w:t>7%，近节</w:t>
      </w:r>
      <w:r>
        <w:rPr>
          <w:rFonts w:hint="eastAsia" w:ascii="宋体" w:hAnsi="宋体"/>
          <w:kern w:val="0"/>
          <w:szCs w:val="21"/>
        </w:rPr>
        <w:t>指节占</w:t>
      </w:r>
      <w:r>
        <w:rPr>
          <w:rFonts w:ascii="宋体" w:hAnsi="宋体"/>
          <w:kern w:val="0"/>
          <w:szCs w:val="21"/>
        </w:rPr>
        <w:t>3%；无名指和小指各占一手功能的9%，其中末节</w:t>
      </w:r>
      <w:r>
        <w:rPr>
          <w:rFonts w:hint="eastAsia" w:ascii="宋体" w:hAnsi="宋体"/>
          <w:kern w:val="0"/>
          <w:szCs w:val="21"/>
        </w:rPr>
        <w:t>指节占</w:t>
      </w:r>
      <w:r>
        <w:rPr>
          <w:rFonts w:ascii="宋体" w:hAnsi="宋体"/>
          <w:kern w:val="0"/>
          <w:szCs w:val="21"/>
        </w:rPr>
        <w:t>4%，中节</w:t>
      </w:r>
      <w:r>
        <w:rPr>
          <w:rFonts w:hint="eastAsia" w:ascii="宋体" w:hAnsi="宋体"/>
          <w:kern w:val="0"/>
          <w:szCs w:val="21"/>
        </w:rPr>
        <w:t>指节占</w:t>
      </w:r>
      <w:r>
        <w:rPr>
          <w:rFonts w:ascii="宋体" w:hAnsi="宋体"/>
          <w:kern w:val="0"/>
          <w:szCs w:val="21"/>
        </w:rPr>
        <w:t>3%，近节</w:t>
      </w:r>
      <w:r>
        <w:rPr>
          <w:rFonts w:hint="eastAsia" w:ascii="宋体" w:hAnsi="宋体"/>
          <w:kern w:val="0"/>
          <w:szCs w:val="21"/>
        </w:rPr>
        <w:t>指节占</w:t>
      </w:r>
      <w:r>
        <w:rPr>
          <w:rFonts w:ascii="宋体" w:hAnsi="宋体"/>
          <w:kern w:val="0"/>
          <w:szCs w:val="21"/>
        </w:rPr>
        <w:t>2%。</w:t>
      </w:r>
      <w:r>
        <w:rPr>
          <w:rFonts w:hint="eastAsia" w:ascii="宋体" w:hAnsi="宋体"/>
          <w:kern w:val="0"/>
          <w:szCs w:val="21"/>
        </w:rPr>
        <w:t>一手掌占一手功能的</w:t>
      </w:r>
      <w:r>
        <w:rPr>
          <w:rFonts w:ascii="宋体" w:hAnsi="宋体"/>
          <w:kern w:val="0"/>
          <w:szCs w:val="21"/>
        </w:rPr>
        <w:t>10%，其中第一掌骨占4%，第二、第三掌骨各占2%，第四、第五掌骨各占1%。本标准中，双手缺失或丧失功能的程度是按前面方</w:t>
      </w:r>
      <w:r>
        <w:rPr>
          <w:rFonts w:hint="eastAsia" w:ascii="宋体" w:hAnsi="宋体"/>
          <w:kern w:val="0"/>
          <w:szCs w:val="21"/>
        </w:rPr>
        <w:t>式</w:t>
      </w:r>
      <w:r>
        <w:rPr>
          <w:rFonts w:ascii="宋体" w:hAnsi="宋体"/>
          <w:kern w:val="0"/>
          <w:szCs w:val="21"/>
        </w:rPr>
        <w:t>累加计算的结果。</w:t>
      </w:r>
      <w:bookmarkEnd w:id="54"/>
      <w:bookmarkEnd w:id="55"/>
    </w:p>
    <w:p>
      <w:pPr>
        <w:widowControl/>
        <w:numPr>
          <w:ilvl w:val="1"/>
          <w:numId w:val="1"/>
        </w:numPr>
        <w:ind w:left="0" w:firstLine="0"/>
        <w:contextualSpacing/>
        <w:jc w:val="left"/>
        <w:outlineLvl w:val="2"/>
        <w:rPr>
          <w:rFonts w:ascii="宋体" w:hAnsi="宋体"/>
          <w:b/>
          <w:bCs/>
          <w:szCs w:val="21"/>
        </w:rPr>
      </w:pPr>
      <w:bookmarkStart w:id="56" w:name="_Toc356463496"/>
      <w:r>
        <w:rPr>
          <w:rFonts w:hint="eastAsia" w:ascii="宋体" w:hAnsi="宋体"/>
          <w:b/>
          <w:bCs/>
          <w:szCs w:val="21"/>
        </w:rPr>
        <w:t>骨盆部的结构损伤</w:t>
      </w:r>
      <w:bookmarkEnd w:id="56"/>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8cm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8cm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6cm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6cm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4cm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4cm</w:t>
            </w:r>
          </w:p>
        </w:tc>
        <w:tc>
          <w:tcPr>
            <w:tcW w:w="1298" w:type="dxa"/>
            <w:vAlign w:val="top"/>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2cm</w:t>
            </w:r>
          </w:p>
        </w:tc>
        <w:tc>
          <w:tcPr>
            <w:tcW w:w="1298" w:type="dxa"/>
            <w:vAlign w:val="top"/>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7434" w:type="dxa"/>
            <w:tcBorders>
              <w:bottom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2cm</w:t>
            </w:r>
          </w:p>
        </w:tc>
        <w:tc>
          <w:tcPr>
            <w:tcW w:w="1298" w:type="dxa"/>
            <w:tcBorders>
              <w:bottom w:val="single" w:color="auto" w:sz="4" w:space="0"/>
            </w:tcBorders>
            <w:vAlign w:val="top"/>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ind w:left="0" w:firstLine="0"/>
        <w:contextualSpacing/>
        <w:jc w:val="left"/>
        <w:outlineLvl w:val="2"/>
        <w:rPr>
          <w:rFonts w:ascii="宋体" w:hAnsi="宋体"/>
          <w:b/>
          <w:bCs/>
          <w:szCs w:val="21"/>
        </w:rPr>
      </w:pPr>
      <w:bookmarkStart w:id="57" w:name="_Toc356463497"/>
      <w:r>
        <w:rPr>
          <w:rFonts w:hint="eastAsia" w:ascii="宋体" w:hAnsi="宋体"/>
          <w:b/>
          <w:bCs/>
          <w:szCs w:val="21"/>
        </w:rPr>
        <w:t>下肢的结构损伤，足功能或关节功能障碍</w:t>
      </w:r>
      <w:bookmarkEnd w:id="57"/>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双足跗跖关节以上缺失</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8cm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一下肢三大关节中，有两个关节完全丧失功能</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双足足弓结构完全破坏</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一足跗跖关节以上缺失</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6cm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一足足弓结构完全破坏，另一足足弓结构破坏大于等于</w:t>
            </w:r>
            <w:r>
              <w:rPr>
                <w:rFonts w:ascii="宋体" w:hAnsi="宋体" w:cs="宋体"/>
                <w:kern w:val="0"/>
                <w:szCs w:val="21"/>
              </w:rPr>
              <w:t>1/3</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双足十趾完全缺失</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一下肢三大关节中，有一个关节完全丧失功能</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双足十趾完全丧失功能</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4cm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一足足弓结构完全破坏</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双足十趾中，大于等于五趾缺失</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一足五趾完全丧失功能</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一足足弓结构破坏大于等于</w:t>
            </w:r>
            <w:r>
              <w:rPr>
                <w:rFonts w:ascii="宋体" w:hAnsi="宋体" w:cs="宋体"/>
                <w:kern w:val="0"/>
                <w:szCs w:val="21"/>
              </w:rPr>
              <w:t>1/3</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双足十趾中，大于等于两趾缺失</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2cm</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一下肢三大关节中，因骨折累及关节面导致一个关节功能部分丧失</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rPr>
      </w:pPr>
      <w:r>
        <w:rPr>
          <w:rFonts w:hint="eastAsia" w:ascii="宋体" w:hAnsi="宋体"/>
          <w:kern w:val="0"/>
          <w:szCs w:val="21"/>
        </w:rPr>
        <w:t xml:space="preserve">注： </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足弓结构破坏：指意外损伤导致的足弓缺失或丧失功能。</w:t>
      </w:r>
    </w:p>
    <w:p>
      <w:pPr>
        <w:widowControl/>
        <w:ind w:firstLine="567" w:firstLineChars="27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足弓结构完全破坏指足的内、外侧纵弓和横弓结构完全破坏，包括缺失和丧失功能；足弓</w:t>
      </w:r>
      <w:r>
        <w:rPr>
          <w:rFonts w:ascii="宋体" w:hAnsi="宋体"/>
          <w:kern w:val="0"/>
          <w:szCs w:val="21"/>
        </w:rPr>
        <w:t>1/3结构破坏指足三弓的任一弓的结构破坏。</w:t>
      </w:r>
    </w:p>
    <w:p>
      <w:pPr>
        <w:widowControl/>
        <w:ind w:firstLine="567" w:firstLineChars="27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hint="eastAsia" w:ascii="宋体" w:hAnsi="宋体"/>
          <w:kern w:val="0"/>
          <w:szCs w:val="21"/>
        </w:rPr>
        <w:t>③</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足趾缺失：指自趾关节以上完全切断。</w:t>
      </w:r>
    </w:p>
    <w:p>
      <w:pPr>
        <w:widowControl/>
        <w:numPr>
          <w:ilvl w:val="1"/>
          <w:numId w:val="1"/>
        </w:numPr>
        <w:ind w:left="0" w:firstLine="0"/>
        <w:contextualSpacing/>
        <w:jc w:val="left"/>
        <w:outlineLvl w:val="2"/>
        <w:rPr>
          <w:rFonts w:ascii="宋体" w:hAnsi="宋体"/>
          <w:b/>
          <w:bCs/>
          <w:szCs w:val="21"/>
        </w:rPr>
      </w:pPr>
      <w:bookmarkStart w:id="58" w:name="_Toc356463498"/>
      <w:r>
        <w:rPr>
          <w:rFonts w:hint="eastAsia" w:ascii="宋体" w:hAnsi="宋体"/>
          <w:b/>
          <w:bCs/>
          <w:szCs w:val="21"/>
        </w:rPr>
        <w:t>四肢的结构损伤，肢体功能或关节功能障碍</w:t>
      </w:r>
      <w:bookmarkEnd w:id="58"/>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0"/>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三肢以上缺失</w:t>
            </w:r>
            <w:r>
              <w:rPr>
                <w:rFonts w:ascii="宋体" w:hAnsi="宋体" w:cs="宋体"/>
                <w:kern w:val="0"/>
                <w:szCs w:val="21"/>
              </w:rPr>
              <w:t>(上肢在腕关节以上,下肢在踝关节以上)</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三肢以上完全丧失功能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二肢缺失（上肢在腕关节以上，下肢在踝关节以上），且第三肢完全丧失功能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一肢缺失（上肢在腕关节以上，下肢在踝关节以上），且另二肢完全丧失功能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二肢缺失</w:t>
            </w:r>
            <w:r>
              <w:rPr>
                <w:rFonts w:ascii="宋体" w:hAnsi="宋体" w:cs="宋体"/>
                <w:kern w:val="0"/>
                <w:szCs w:val="21"/>
              </w:rPr>
              <w:t>(上肢在肘关节以上，下肢在膝关节以上)</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一肢缺失（上肢在肘关节以上，下肢在膝关节以上），且另一肢完全丧失功能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二肢完全丧失功能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一肢缺失（上肢在腕关节以上，下肢在踝关节以上），且另一肢完全丧失功能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二肢缺失</w:t>
            </w:r>
            <w:r>
              <w:rPr>
                <w:rFonts w:ascii="宋体" w:hAnsi="宋体" w:cs="宋体"/>
                <w:kern w:val="0"/>
                <w:szCs w:val="21"/>
              </w:rPr>
              <w:t>(上肢在腕关节以上，下肢在踝关节以上)</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两上肢、或两下肢、或一上肢及一下肢，各有三大关节中的两个关节完全丧失功能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一肢缺失</w:t>
            </w:r>
            <w:r>
              <w:rPr>
                <w:rFonts w:ascii="宋体" w:hAnsi="宋体" w:cs="宋体"/>
                <w:kern w:val="0"/>
                <w:szCs w:val="21"/>
              </w:rPr>
              <w:t>(上肢在肘关节以上，下肢在膝关节以上)</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一肢完全丧失功能</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一肢缺失</w:t>
            </w:r>
            <w:r>
              <w:rPr>
                <w:rFonts w:ascii="宋体" w:hAnsi="宋体" w:cs="宋体"/>
                <w:kern w:val="0"/>
                <w:szCs w:val="21"/>
              </w:rPr>
              <w:t>(上肢在腕关节以上，下肢在踝关节以上)</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50" w:type="dxa"/>
            <w:vAlign w:val="top"/>
          </w:tcPr>
          <w:p>
            <w:pPr>
              <w:widowControl/>
              <w:contextualSpacing/>
              <w:jc w:val="left"/>
              <w:rPr>
                <w:rFonts w:ascii="宋体" w:hAnsi="宋体" w:cs="宋体"/>
                <w:kern w:val="0"/>
                <w:szCs w:val="21"/>
              </w:rPr>
            </w:pPr>
            <w:r>
              <w:rPr>
                <w:rFonts w:hint="eastAsia" w:ascii="宋体" w:hAnsi="宋体" w:cs="宋体"/>
                <w:kern w:val="0"/>
                <w:szCs w:val="21"/>
              </w:rPr>
              <w:t>四肢长骨一骺板以上粉碎性骨折</w:t>
            </w:r>
          </w:p>
        </w:tc>
        <w:tc>
          <w:tcPr>
            <w:tcW w:w="1282"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bl>
    <w:p>
      <w:pPr>
        <w:widowControl/>
        <w:contextualSpacing/>
        <w:jc w:val="left"/>
        <w:rPr>
          <w:rFonts w:ascii="宋体" w:hAnsi="宋体"/>
          <w:kern w:val="0"/>
          <w:szCs w:val="21"/>
        </w:rPr>
      </w:pPr>
      <w:r>
        <w:rPr>
          <w:rFonts w:hint="eastAsia" w:ascii="宋体" w:hAnsi="宋体"/>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骺板：骺板的定义只适用于儿童，四肢长骨骺板骨折可能影响肢体发育，如果存在肢体发育障碍的，应当另行评定伤残等级。</w:t>
      </w:r>
    </w:p>
    <w:p>
      <w:pPr>
        <w:widowControl/>
        <w:ind w:firstLine="525" w:firstLineChars="25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肢体丧失功能指意外损伤导致肢体三大关节（上肢腕关节、肘关节、肩关节或下肢踝关节、膝关节、髋关节）功能的丧失。</w:t>
      </w:r>
    </w:p>
    <w:p>
      <w:pPr>
        <w:widowControl/>
        <w:ind w:firstLine="525" w:firstLineChars="25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hint="eastAsia" w:ascii="宋体" w:hAnsi="宋体"/>
          <w:kern w:val="0"/>
          <w:szCs w:val="21"/>
        </w:rPr>
        <w:t>③</w:t>
      </w:r>
      <w:r>
        <w:rPr>
          <w:rFonts w:ascii="宋体" w:hAnsi="宋体"/>
          <w:kern w:val="0"/>
          <w:szCs w:val="21"/>
        </w:rPr>
        <w:fldChar w:fldCharType="end"/>
      </w:r>
      <w:r>
        <w:rPr>
          <w:rFonts w:ascii="宋体" w:hAnsi="宋体"/>
          <w:kern w:val="0"/>
          <w:szCs w:val="21"/>
        </w:rPr>
        <w:t xml:space="preserve"> 关节功能的</w:t>
      </w:r>
      <w:r>
        <w:rPr>
          <w:rFonts w:hint="eastAsia" w:ascii="宋体" w:hAnsi="宋体"/>
          <w:kern w:val="0"/>
          <w:szCs w:val="21"/>
        </w:rPr>
        <w:t>丧失指关节永久完全僵硬、或麻痹、或关节不能随意识活动。</w:t>
      </w:r>
    </w:p>
    <w:p>
      <w:pPr>
        <w:widowControl/>
        <w:numPr>
          <w:ilvl w:val="1"/>
          <w:numId w:val="1"/>
        </w:numPr>
        <w:ind w:left="0" w:firstLine="0"/>
        <w:contextualSpacing/>
        <w:jc w:val="left"/>
        <w:outlineLvl w:val="2"/>
        <w:rPr>
          <w:rFonts w:ascii="宋体" w:hAnsi="宋体"/>
          <w:b/>
          <w:bCs/>
          <w:szCs w:val="21"/>
        </w:rPr>
      </w:pPr>
      <w:bookmarkStart w:id="59" w:name="_Toc356463499"/>
      <w:r>
        <w:rPr>
          <w:rFonts w:hint="eastAsia" w:ascii="宋体" w:hAnsi="宋体"/>
          <w:b/>
          <w:bCs/>
          <w:szCs w:val="21"/>
        </w:rPr>
        <w:t>脊柱结构损伤和关节活动功能障碍</w:t>
      </w:r>
      <w:bookmarkEnd w:id="59"/>
    </w:p>
    <w:p>
      <w:pPr>
        <w:ind w:firstLine="420" w:firstLineChars="200"/>
        <w:contextualSpacing/>
        <w:rPr>
          <w:rFonts w:ascii="宋体" w:hAnsi="宋体"/>
          <w:szCs w:val="21"/>
        </w:rPr>
      </w:pPr>
      <w:r>
        <w:rPr>
          <w:rFonts w:hint="eastAsia" w:ascii="宋体" w:hAnsi="宋体"/>
          <w:szCs w:val="21"/>
        </w:rPr>
        <w:t>本标准中的脊柱结构损伤是指</w:t>
      </w:r>
      <w:r>
        <w:rPr>
          <w:rFonts w:hint="eastAsia" w:ascii="宋体" w:hAnsi="宋体" w:cs="Arial"/>
          <w:szCs w:val="21"/>
        </w:rPr>
        <w:t>颈椎或腰椎的骨折脱位</w:t>
      </w:r>
      <w:r>
        <w:rPr>
          <w:rFonts w:hint="eastAsia" w:ascii="宋体" w:hAnsi="宋体"/>
          <w:szCs w:val="21"/>
        </w:rPr>
        <w:t>，本标准中的关节活动功能障碍是指颈部或腰部活动度丧失。</w:t>
      </w:r>
    </w:p>
    <w:tbl>
      <w:tblPr>
        <w:tblStyle w:val="4"/>
        <w:tblW w:w="8732" w:type="dxa"/>
        <w:jc w:val="center"/>
        <w:tblLayout w:type="fixed"/>
        <w:tblCellMar>
          <w:top w:w="0" w:type="dxa"/>
          <w:left w:w="108" w:type="dxa"/>
          <w:bottom w:w="0" w:type="dxa"/>
          <w:right w:w="108" w:type="dxa"/>
        </w:tblCellMar>
      </w:tblPr>
      <w:tblGrid>
        <w:gridCol w:w="7436"/>
        <w:gridCol w:w="1296"/>
      </w:tblGrid>
      <w:tr>
        <w:tblPrEx>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right w:val="single" w:color="auto" w:sz="4" w:space="0"/>
            </w:tcBorders>
            <w:vAlign w:val="center"/>
          </w:tcPr>
          <w:p>
            <w:pPr>
              <w:widowControl/>
              <w:contextualSpacing/>
              <w:jc w:val="left"/>
              <w:rPr>
                <w:rFonts w:ascii="宋体" w:hAnsi="宋体" w:cs="宋体"/>
                <w:kern w:val="0"/>
                <w:szCs w:val="21"/>
              </w:rPr>
            </w:pPr>
            <w:r>
              <w:rPr>
                <w:rFonts w:hint="eastAsia" w:ascii="宋体" w:hAnsi="宋体" w:cs="宋体"/>
                <w:kern w:val="0"/>
                <w:szCs w:val="21"/>
              </w:rPr>
              <w:t>脊柱骨折脱位导致颈椎或腰椎畸形愈合，且颈部或腰部活动度丧失大于等于</w:t>
            </w:r>
            <w:r>
              <w:rPr>
                <w:rFonts w:ascii="宋体" w:hAnsi="宋体" w:cs="宋体"/>
                <w:kern w:val="0"/>
                <w:szCs w:val="21"/>
              </w:rPr>
              <w:t>75%</w:t>
            </w:r>
          </w:p>
        </w:tc>
        <w:tc>
          <w:tcPr>
            <w:tcW w:w="1296"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CellMar>
            <w:top w:w="0" w:type="dxa"/>
            <w:left w:w="108" w:type="dxa"/>
            <w:bottom w:w="0" w:type="dxa"/>
            <w:right w:w="108" w:type="dxa"/>
          </w:tblCellMar>
        </w:tblPrEx>
        <w:trPr>
          <w:trHeight w:val="215" w:hRule="atLeast"/>
          <w:jc w:val="center"/>
        </w:trPr>
        <w:tc>
          <w:tcPr>
            <w:tcW w:w="7436" w:type="dxa"/>
            <w:tcBorders>
              <w:top w:val="nil"/>
              <w:left w:val="single" w:color="auto" w:sz="4" w:space="0"/>
              <w:bottom w:val="single" w:color="auto" w:sz="4" w:space="0"/>
              <w:right w:val="single" w:color="auto" w:sz="4" w:space="0"/>
            </w:tcBorders>
            <w:vAlign w:val="center"/>
          </w:tcPr>
          <w:p>
            <w:pPr>
              <w:widowControl/>
              <w:contextualSpacing/>
              <w:jc w:val="left"/>
              <w:rPr>
                <w:rFonts w:ascii="宋体" w:hAnsi="宋体" w:cs="宋体"/>
                <w:kern w:val="0"/>
                <w:szCs w:val="21"/>
              </w:rPr>
            </w:pPr>
            <w:r>
              <w:rPr>
                <w:rFonts w:hint="eastAsia" w:ascii="宋体" w:hAnsi="宋体" w:cs="宋体"/>
                <w:kern w:val="0"/>
                <w:szCs w:val="21"/>
              </w:rPr>
              <w:t>脊柱骨折脱位导致颈椎或腰椎畸形愈合，且颈部或腰部活动度丧失大于等于</w:t>
            </w:r>
            <w:r>
              <w:rPr>
                <w:rFonts w:ascii="宋体" w:hAnsi="宋体" w:cs="宋体"/>
                <w:kern w:val="0"/>
                <w:szCs w:val="21"/>
              </w:rPr>
              <w:t>50%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CellMar>
            <w:top w:w="0" w:type="dxa"/>
            <w:left w:w="108" w:type="dxa"/>
            <w:bottom w:w="0" w:type="dxa"/>
            <w:right w:w="108" w:type="dxa"/>
          </w:tblCellMar>
        </w:tblPrEx>
        <w:trPr>
          <w:trHeight w:val="151" w:hRule="atLeast"/>
          <w:jc w:val="center"/>
        </w:trPr>
        <w:tc>
          <w:tcPr>
            <w:tcW w:w="7436" w:type="dxa"/>
            <w:tcBorders>
              <w:top w:val="nil"/>
              <w:left w:val="single" w:color="auto" w:sz="4" w:space="0"/>
              <w:bottom w:val="single" w:color="auto" w:sz="4" w:space="0"/>
              <w:right w:val="single" w:color="auto" w:sz="4" w:space="0"/>
            </w:tcBorders>
            <w:vAlign w:val="center"/>
          </w:tcPr>
          <w:p>
            <w:pPr>
              <w:widowControl/>
              <w:contextualSpacing/>
              <w:jc w:val="left"/>
              <w:rPr>
                <w:rFonts w:ascii="宋体" w:hAnsi="宋体" w:cs="宋体"/>
                <w:kern w:val="0"/>
                <w:szCs w:val="21"/>
              </w:rPr>
            </w:pPr>
            <w:r>
              <w:rPr>
                <w:rFonts w:hint="eastAsia" w:ascii="宋体" w:hAnsi="宋体" w:cs="宋体"/>
                <w:kern w:val="0"/>
                <w:szCs w:val="21"/>
              </w:rPr>
              <w:t>脊柱骨折脱位导致颈椎或腰椎畸形愈合，且颈部或腰部活动度丧失大于等于</w:t>
            </w:r>
            <w:r>
              <w:rPr>
                <w:rFonts w:ascii="宋体" w:hAnsi="宋体" w:cs="宋体"/>
                <w:kern w:val="0"/>
                <w:szCs w:val="21"/>
              </w:rPr>
              <w:t>25%</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9级</w:t>
            </w:r>
          </w:p>
        </w:tc>
      </w:tr>
    </w:tbl>
    <w:p>
      <w:pPr>
        <w:widowControl/>
        <w:numPr>
          <w:ilvl w:val="1"/>
          <w:numId w:val="1"/>
        </w:numPr>
        <w:ind w:left="0" w:firstLine="0"/>
        <w:contextualSpacing/>
        <w:jc w:val="left"/>
        <w:outlineLvl w:val="2"/>
        <w:rPr>
          <w:rFonts w:ascii="宋体" w:hAnsi="宋体"/>
          <w:b/>
          <w:bCs/>
          <w:szCs w:val="21"/>
        </w:rPr>
      </w:pPr>
      <w:bookmarkStart w:id="60" w:name="_Toc349826845"/>
      <w:bookmarkEnd w:id="60"/>
      <w:bookmarkStart w:id="61" w:name="_Toc349832779"/>
      <w:bookmarkEnd w:id="61"/>
      <w:bookmarkStart w:id="62" w:name="_Toc349833434"/>
      <w:bookmarkEnd w:id="62"/>
      <w:bookmarkStart w:id="63" w:name="_Toc349827001"/>
      <w:bookmarkEnd w:id="63"/>
      <w:bookmarkStart w:id="64" w:name="_Toc349833830"/>
      <w:bookmarkEnd w:id="64"/>
      <w:bookmarkStart w:id="65" w:name="_Toc356463500"/>
      <w:r>
        <w:rPr>
          <w:rFonts w:hint="eastAsia" w:ascii="宋体" w:hAnsi="宋体"/>
          <w:b/>
          <w:bCs/>
          <w:szCs w:val="21"/>
        </w:rPr>
        <w:t>肌肉力量功能障碍</w:t>
      </w:r>
      <w:bookmarkEnd w:id="65"/>
    </w:p>
    <w:p>
      <w:pPr>
        <w:ind w:firstLine="420" w:firstLineChars="200"/>
        <w:rPr>
          <w:rFonts w:ascii="宋体" w:hAnsi="宋体"/>
          <w:szCs w:val="21"/>
        </w:rPr>
      </w:pPr>
      <w:r>
        <w:rPr>
          <w:rFonts w:hint="eastAsia" w:ascii="宋体" w:hAnsi="宋体"/>
          <w:szCs w:val="21"/>
        </w:rPr>
        <w:t>肌肉力量功能是指与肌肉或肌群收缩产生力量有关的功能。本标准中的肌肉力量功能障碍是指四肢瘫、偏瘫、截瘫或单瘫。</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四肢瘫（三肢以上肌力小于等于</w:t>
            </w:r>
            <w:r>
              <w:rPr>
                <w:rFonts w:ascii="宋体" w:hAnsi="宋体" w:cs="宋体"/>
                <w:kern w:val="0"/>
                <w:szCs w:val="21"/>
              </w:rPr>
              <w:t>3级)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截瘫</w:t>
            </w:r>
            <w:r>
              <w:rPr>
                <w:rFonts w:ascii="宋体" w:hAnsi="宋体" w:cs="宋体"/>
                <w:kern w:val="0"/>
                <w:szCs w:val="21"/>
              </w:rPr>
              <w:t>(肌力小于等于2级)且大便和小便失禁</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四肢瘫（二肢以上肌力小于等于</w:t>
            </w:r>
            <w:r>
              <w:rPr>
                <w:rFonts w:ascii="宋体" w:hAnsi="宋体" w:cs="宋体"/>
                <w:kern w:val="0"/>
                <w:szCs w:val="21"/>
              </w:rPr>
              <w:t>2级)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偏瘫（肌力小于等于</w:t>
            </w:r>
            <w:r>
              <w:rPr>
                <w:rFonts w:ascii="宋体" w:hAnsi="宋体" w:cs="宋体"/>
                <w:kern w:val="0"/>
                <w:szCs w:val="21"/>
              </w:rPr>
              <w:t>2级)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截瘫（肌力小于等于</w:t>
            </w:r>
            <w:r>
              <w:rPr>
                <w:rFonts w:ascii="宋体" w:hAnsi="宋体" w:cs="宋体"/>
                <w:kern w:val="0"/>
                <w:szCs w:val="21"/>
              </w:rPr>
              <w:t>2级)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四肢瘫（二肢以上肌力小于等于</w:t>
            </w:r>
            <w:r>
              <w:rPr>
                <w:rFonts w:ascii="宋体" w:hAnsi="宋体" w:cs="宋体"/>
                <w:kern w:val="0"/>
                <w:szCs w:val="21"/>
              </w:rPr>
              <w:t>3级)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偏瘫（肌力小于等于</w:t>
            </w:r>
            <w:r>
              <w:rPr>
                <w:rFonts w:ascii="宋体" w:hAnsi="宋体" w:cs="宋体"/>
                <w:kern w:val="0"/>
                <w:szCs w:val="21"/>
              </w:rPr>
              <w:t>3级)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截瘫（肌力小于等于</w:t>
            </w:r>
            <w:r>
              <w:rPr>
                <w:rFonts w:ascii="宋体" w:hAnsi="宋体" w:cs="宋体"/>
                <w:kern w:val="0"/>
                <w:szCs w:val="21"/>
              </w:rPr>
              <w:t>3级)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四肢瘫（二肢以上肌力小于等于4</w:t>
            </w:r>
            <w:r>
              <w:rPr>
                <w:rFonts w:ascii="宋体" w:hAnsi="宋体" w:cs="宋体"/>
                <w:kern w:val="0"/>
                <w:szCs w:val="21"/>
              </w:rPr>
              <w:t>级)</w:t>
            </w:r>
          </w:p>
        </w:tc>
        <w:tc>
          <w:tcPr>
            <w:tcW w:w="1298" w:type="dxa"/>
            <w:vAlign w:val="center"/>
          </w:tcPr>
          <w:p>
            <w:pPr>
              <w:widowControl/>
              <w:contextualSpacing/>
              <w:jc w:val="center"/>
              <w:rPr>
                <w:rFonts w:ascii="宋体" w:hAnsi="宋体" w:cs="宋体"/>
                <w:kern w:val="0"/>
                <w:szCs w:val="21"/>
              </w:rPr>
            </w:pPr>
            <w:r>
              <w:rPr>
                <w:rFonts w:hint="eastAsia" w:ascii="宋体" w:hAnsi="宋体" w:cs="宋体"/>
                <w:kern w:val="0"/>
                <w:szCs w:val="21"/>
              </w:rPr>
              <w:t>4</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偏瘫（一肢肌力小于等于</w:t>
            </w:r>
            <w:r>
              <w:rPr>
                <w:rFonts w:ascii="宋体" w:hAnsi="宋体" w:cs="宋体"/>
                <w:kern w:val="0"/>
                <w:szCs w:val="21"/>
              </w:rPr>
              <w:t>2级)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截瘫（一肢肌力小于等于</w:t>
            </w:r>
            <w:r>
              <w:rPr>
                <w:rFonts w:ascii="宋体" w:hAnsi="宋体" w:cs="宋体"/>
                <w:kern w:val="0"/>
                <w:szCs w:val="21"/>
              </w:rPr>
              <w:t>2级)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单瘫（肌力小于等于</w:t>
            </w:r>
            <w:r>
              <w:rPr>
                <w:rFonts w:ascii="宋体" w:hAnsi="宋体" w:cs="宋体"/>
                <w:kern w:val="0"/>
                <w:szCs w:val="21"/>
              </w:rPr>
              <w:t>2级)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偏瘫（一肢肌力小于等于</w:t>
            </w:r>
            <w:r>
              <w:rPr>
                <w:rFonts w:ascii="宋体" w:hAnsi="宋体" w:cs="宋体"/>
                <w:kern w:val="0"/>
                <w:szCs w:val="21"/>
              </w:rPr>
              <w:t>3级)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截瘫（一肢肌力小于等于</w:t>
            </w:r>
            <w:r>
              <w:rPr>
                <w:rFonts w:ascii="宋体" w:hAnsi="宋体" w:cs="宋体"/>
                <w:kern w:val="0"/>
                <w:szCs w:val="21"/>
              </w:rPr>
              <w:t>3级)</w:t>
            </w:r>
          </w:p>
        </w:tc>
        <w:tc>
          <w:tcPr>
            <w:tcW w:w="1298"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单瘫（肌力小于等于</w:t>
            </w:r>
            <w:r>
              <w:rPr>
                <w:rFonts w:ascii="宋体" w:hAnsi="宋体" w:cs="宋体"/>
                <w:kern w:val="0"/>
                <w:szCs w:val="21"/>
              </w:rPr>
              <w:t>3级)</w:t>
            </w:r>
          </w:p>
        </w:tc>
        <w:tc>
          <w:tcPr>
            <w:tcW w:w="1298" w:type="dxa"/>
            <w:vAlign w:val="top"/>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偏瘫（一肢肌力小于等于</w:t>
            </w:r>
            <w:r>
              <w:rPr>
                <w:rFonts w:ascii="宋体" w:hAnsi="宋体" w:cs="宋体"/>
                <w:kern w:val="0"/>
                <w:szCs w:val="21"/>
              </w:rPr>
              <w:t>4级)</w:t>
            </w:r>
          </w:p>
        </w:tc>
        <w:tc>
          <w:tcPr>
            <w:tcW w:w="1298" w:type="dxa"/>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截瘫（一肢肌力小于等于</w:t>
            </w:r>
            <w:r>
              <w:rPr>
                <w:rFonts w:ascii="宋体" w:hAnsi="宋体" w:cs="宋体"/>
                <w:kern w:val="0"/>
                <w:szCs w:val="21"/>
              </w:rPr>
              <w:t>4级)</w:t>
            </w:r>
          </w:p>
        </w:tc>
        <w:tc>
          <w:tcPr>
            <w:tcW w:w="1298" w:type="dxa"/>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7434" w:type="dxa"/>
            <w:vAlign w:val="top"/>
          </w:tcPr>
          <w:p>
            <w:pPr>
              <w:widowControl/>
              <w:contextualSpacing/>
              <w:jc w:val="left"/>
              <w:rPr>
                <w:rFonts w:ascii="宋体" w:hAnsi="宋体" w:cs="宋体"/>
                <w:kern w:val="0"/>
                <w:szCs w:val="21"/>
              </w:rPr>
            </w:pPr>
            <w:r>
              <w:rPr>
                <w:rFonts w:hint="eastAsia" w:ascii="宋体" w:hAnsi="宋体" w:cs="宋体"/>
                <w:kern w:val="0"/>
                <w:szCs w:val="21"/>
              </w:rPr>
              <w:t>单瘫（肌力小于等于</w:t>
            </w:r>
            <w:r>
              <w:rPr>
                <w:rFonts w:ascii="宋体" w:hAnsi="宋体" w:cs="宋体"/>
                <w:kern w:val="0"/>
                <w:szCs w:val="21"/>
              </w:rPr>
              <w:t>4级)</w:t>
            </w:r>
          </w:p>
        </w:tc>
        <w:tc>
          <w:tcPr>
            <w:tcW w:w="1298" w:type="dxa"/>
            <w:vAlign w:val="top"/>
          </w:tcPr>
          <w:p>
            <w:pPr>
              <w:widowControl/>
              <w:contextualSpacing/>
              <w:jc w:val="center"/>
              <w:rPr>
                <w:rFonts w:ascii="宋体" w:hAnsi="宋体" w:cs="宋体"/>
                <w:kern w:val="0"/>
                <w:szCs w:val="21"/>
              </w:rPr>
            </w:pPr>
            <w:r>
              <w:rPr>
                <w:rFonts w:ascii="宋体" w:hAnsi="宋体" w:cs="宋体"/>
                <w:kern w:val="0"/>
                <w:szCs w:val="21"/>
              </w:rPr>
              <w:t>8级</w:t>
            </w:r>
          </w:p>
        </w:tc>
      </w:tr>
    </w:tbl>
    <w:p>
      <w:pPr>
        <w:widowControl/>
        <w:contextualSpacing/>
        <w:jc w:val="left"/>
        <w:rPr>
          <w:rFonts w:ascii="宋体" w:hAnsi="宋体"/>
          <w:kern w:val="0"/>
          <w:szCs w:val="21"/>
        </w:rPr>
      </w:pPr>
      <w:r>
        <w:rPr>
          <w:rFonts w:hint="eastAsia" w:ascii="宋体" w:hAnsi="宋体"/>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偏瘫指一侧上下肢的瘫痪。</w:t>
      </w:r>
    </w:p>
    <w:p>
      <w:pPr>
        <w:widowControl/>
        <w:ind w:left="696" w:leftChars="153" w:hanging="375" w:hangingChars="179"/>
        <w:contextualSpacing/>
        <w:jc w:val="left"/>
        <w:rPr>
          <w:rFonts w:ascii="宋体" w:hAnsi="宋体"/>
          <w:kern w:val="0"/>
          <w:szCs w:val="21"/>
        </w:rPr>
      </w:pPr>
      <w:r>
        <w:rPr>
          <w:rFonts w:hint="eastAsia" w:ascii="宋体" w:hAnsi="宋体"/>
          <w:kern w:val="0"/>
          <w:szCs w:val="21"/>
        </w:rPr>
        <w:t xml:space="preserve"> </w:t>
      </w: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截瘫指脊髓损伤后，受伤平面以下双侧肢体感觉、运动、反射等消失和膀胱、肛门括约肌功能丧失的病症。</w:t>
      </w:r>
    </w:p>
    <w:p>
      <w:pPr>
        <w:widowControl/>
        <w:ind w:firstLine="420" w:firstLineChars="20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hint="eastAsia" w:ascii="宋体" w:hAnsi="宋体"/>
          <w:kern w:val="0"/>
          <w:szCs w:val="21"/>
        </w:rPr>
        <w:t>③</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单瘫指一个肢体或肢体的某一部分瘫痪。</w:t>
      </w:r>
    </w:p>
    <w:p>
      <w:pPr>
        <w:widowControl/>
        <w:ind w:firstLine="420" w:firstLineChars="20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4 \* GB3 </w:instrText>
      </w:r>
      <w:r>
        <w:rPr>
          <w:rFonts w:ascii="宋体" w:hAnsi="宋体"/>
          <w:kern w:val="0"/>
          <w:szCs w:val="21"/>
        </w:rPr>
        <w:fldChar w:fldCharType="separate"/>
      </w:r>
      <w:r>
        <w:rPr>
          <w:rFonts w:hint="eastAsia" w:ascii="宋体" w:hAnsi="宋体"/>
          <w:kern w:val="0"/>
          <w:szCs w:val="21"/>
        </w:rPr>
        <w:t>④</w:t>
      </w:r>
      <w:r>
        <w:rPr>
          <w:rFonts w:ascii="宋体" w:hAnsi="宋体"/>
          <w:kern w:val="0"/>
          <w:szCs w:val="21"/>
        </w:rPr>
        <w:fldChar w:fldCharType="end"/>
      </w:r>
      <w:r>
        <w:rPr>
          <w:rFonts w:ascii="宋体" w:hAnsi="宋体"/>
          <w:kern w:val="0"/>
          <w:szCs w:val="21"/>
        </w:rPr>
        <w:t xml:space="preserve"> 肌力：为判断肢体瘫痪程度，将肌力分级划分为0-5级。</w:t>
      </w:r>
    </w:p>
    <w:p>
      <w:pPr>
        <w:widowControl/>
        <w:ind w:firstLine="720"/>
        <w:contextualSpacing/>
        <w:jc w:val="left"/>
        <w:rPr>
          <w:rFonts w:ascii="宋体" w:hAnsi="宋体"/>
          <w:kern w:val="0"/>
          <w:szCs w:val="21"/>
        </w:rPr>
      </w:pPr>
      <w:r>
        <w:rPr>
          <w:rFonts w:hint="eastAsia" w:ascii="宋体" w:hAnsi="宋体"/>
          <w:kern w:val="0"/>
          <w:szCs w:val="21"/>
        </w:rPr>
        <w:t xml:space="preserve"> </w:t>
      </w:r>
      <w:r>
        <w:rPr>
          <w:rFonts w:ascii="宋体" w:hAnsi="宋体"/>
          <w:kern w:val="0"/>
          <w:szCs w:val="21"/>
        </w:rPr>
        <w:t>0级：肌肉完全瘫痪，毫无收缩。</w:t>
      </w:r>
    </w:p>
    <w:p>
      <w:pPr>
        <w:widowControl/>
        <w:contextualSpacing/>
        <w:jc w:val="left"/>
        <w:rPr>
          <w:rFonts w:ascii="宋体" w:hAnsi="宋体"/>
          <w:kern w:val="0"/>
          <w:szCs w:val="21"/>
        </w:rPr>
      </w:pPr>
      <w:r>
        <w:rPr>
          <w:rFonts w:hint="eastAsia" w:ascii="宋体" w:hAnsi="宋体"/>
          <w:kern w:val="0"/>
          <w:szCs w:val="21"/>
        </w:rPr>
        <w:t>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1级：可看到或触及肌肉轻微收缩，但不能产生动作。</w:t>
      </w:r>
    </w:p>
    <w:p>
      <w:pPr>
        <w:widowControl/>
        <w:ind w:left="1737" w:hanging="1736" w:hangingChars="827"/>
        <w:contextualSpacing/>
        <w:jc w:val="left"/>
        <w:rPr>
          <w:rFonts w:ascii="宋体" w:hAnsi="宋体"/>
          <w:kern w:val="0"/>
          <w:szCs w:val="21"/>
        </w:rPr>
      </w:pPr>
      <w:r>
        <w:rPr>
          <w:rFonts w:hint="eastAsia" w:ascii="宋体" w:hAnsi="宋体"/>
          <w:kern w:val="0"/>
          <w:szCs w:val="21"/>
        </w:rPr>
        <w:t>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2级：肌肉在不受重力影响下，可进行运动，即肢体能在床面上移动，但不能抬高。</w:t>
      </w:r>
    </w:p>
    <w:p>
      <w:pPr>
        <w:widowControl/>
        <w:ind w:left="1737" w:hanging="1736" w:hangingChars="827"/>
        <w:contextualSpacing/>
        <w:jc w:val="left"/>
        <w:rPr>
          <w:rFonts w:ascii="宋体" w:hAnsi="宋体"/>
          <w:kern w:val="0"/>
          <w:szCs w:val="21"/>
        </w:rPr>
      </w:pPr>
      <w:r>
        <w:rPr>
          <w:rFonts w:hint="eastAsia" w:ascii="宋体" w:hAnsi="宋体"/>
          <w:kern w:val="0"/>
          <w:szCs w:val="21"/>
        </w:rPr>
        <w:t>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3级：在和地心引力相反的方向中尚能完成其动作，但不能对抗外加的阻力。</w:t>
      </w:r>
    </w:p>
    <w:p>
      <w:pPr>
        <w:widowControl/>
        <w:contextualSpacing/>
        <w:jc w:val="left"/>
        <w:rPr>
          <w:rFonts w:ascii="宋体" w:hAnsi="宋体"/>
          <w:kern w:val="0"/>
          <w:szCs w:val="21"/>
        </w:rPr>
      </w:pPr>
      <w:r>
        <w:rPr>
          <w:rFonts w:hint="eastAsia" w:ascii="宋体" w:hAnsi="宋体"/>
          <w:kern w:val="0"/>
          <w:szCs w:val="21"/>
        </w:rPr>
        <w:t>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4级：能对抗一定的阻力，但较正常人为低。</w:t>
      </w:r>
    </w:p>
    <w:p>
      <w:pPr>
        <w:widowControl/>
        <w:contextualSpacing/>
        <w:jc w:val="left"/>
        <w:rPr>
          <w:rFonts w:ascii="宋体" w:hAnsi="宋体"/>
          <w:kern w:val="0"/>
          <w:szCs w:val="21"/>
        </w:rPr>
      </w:pPr>
      <w:r>
        <w:rPr>
          <w:rFonts w:hint="eastAsia" w:ascii="宋体" w:hAnsi="宋体"/>
          <w:kern w:val="0"/>
          <w:szCs w:val="21"/>
        </w:rPr>
        <w:t>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5级：正常肌力</w:t>
      </w:r>
      <w:r>
        <w:rPr>
          <w:rFonts w:hint="eastAsia" w:ascii="宋体" w:hAnsi="宋体"/>
          <w:kern w:val="0"/>
          <w:szCs w:val="21"/>
        </w:rPr>
        <w:t>。</w:t>
      </w:r>
    </w:p>
    <w:p>
      <w:pPr>
        <w:widowControl/>
        <w:numPr>
          <w:ilvl w:val="0"/>
          <w:numId w:val="1"/>
        </w:numPr>
        <w:contextualSpacing/>
        <w:jc w:val="left"/>
        <w:outlineLvl w:val="1"/>
        <w:rPr>
          <w:rFonts w:ascii="宋体" w:hAnsi="宋体"/>
          <w:b/>
          <w:bCs/>
          <w:szCs w:val="21"/>
        </w:rPr>
      </w:pPr>
      <w:bookmarkStart w:id="66" w:name="_Toc356463501"/>
      <w:r>
        <w:rPr>
          <w:rFonts w:hint="eastAsia" w:ascii="宋体" w:hAnsi="宋体"/>
          <w:b/>
          <w:bCs/>
          <w:szCs w:val="21"/>
        </w:rPr>
        <w:t>皮肤和有关的结构和功能</w:t>
      </w:r>
      <w:bookmarkEnd w:id="66"/>
    </w:p>
    <w:p>
      <w:pPr>
        <w:widowControl/>
        <w:numPr>
          <w:ilvl w:val="1"/>
          <w:numId w:val="1"/>
        </w:numPr>
        <w:ind w:left="0" w:firstLine="0"/>
        <w:contextualSpacing/>
        <w:jc w:val="left"/>
        <w:outlineLvl w:val="2"/>
        <w:rPr>
          <w:rFonts w:ascii="宋体" w:hAnsi="宋体"/>
          <w:b/>
          <w:bCs/>
          <w:szCs w:val="21"/>
        </w:rPr>
      </w:pPr>
      <w:bookmarkStart w:id="67" w:name="_Toc356463502"/>
      <w:r>
        <w:rPr>
          <w:rFonts w:hint="eastAsia" w:ascii="宋体" w:hAnsi="宋体"/>
          <w:b/>
          <w:bCs/>
          <w:szCs w:val="21"/>
        </w:rPr>
        <w:t>头颈部皮肤结构损伤和修复功能障碍</w:t>
      </w:r>
      <w:bookmarkEnd w:id="67"/>
    </w:p>
    <w:p>
      <w:pPr>
        <w:ind w:firstLine="420" w:firstLineChars="200"/>
        <w:rPr>
          <w:rFonts w:ascii="宋体" w:hAnsi="宋体"/>
          <w:szCs w:val="21"/>
        </w:rPr>
      </w:pPr>
      <w:r>
        <w:rPr>
          <w:rFonts w:hint="eastAsia" w:ascii="宋体" w:hAnsi="宋体"/>
          <w:szCs w:val="21"/>
        </w:rPr>
        <w:t>皮肤的修复功能是指修复皮肤破损和其他损伤的功能。本标准中的皮肤修复功能障碍是指瘢痕形成。</w:t>
      </w:r>
    </w:p>
    <w:tbl>
      <w:tblPr>
        <w:tblStyle w:val="4"/>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436" w:type="dxa"/>
            <w:tcBorders>
              <w:top w:val="single" w:color="auto" w:sz="4" w:space="0"/>
              <w:left w:val="single" w:color="auto" w:sz="4" w:space="0"/>
              <w:bottom w:val="single" w:color="auto" w:sz="4" w:space="0"/>
              <w:right w:val="single" w:color="auto" w:sz="4" w:space="0"/>
            </w:tcBorders>
            <w:vAlign w:val="center"/>
          </w:tcPr>
          <w:p>
            <w:pPr>
              <w:widowControl/>
              <w:contextualSpacing/>
              <w:rPr>
                <w:rFonts w:ascii="宋体" w:hAnsi="宋体" w:cs="宋体"/>
                <w:kern w:val="0"/>
                <w:szCs w:val="21"/>
              </w:rPr>
            </w:pPr>
            <w:r>
              <w:rPr>
                <w:rFonts w:hint="eastAsia" w:ascii="宋体" w:hAnsi="宋体" w:cs="宋体"/>
                <w:kern w:val="0"/>
                <w:szCs w:val="21"/>
              </w:rPr>
              <w:t>头颈部Ⅲ</w:t>
            </w:r>
            <w:r>
              <w:rPr>
                <w:rFonts w:ascii="宋体" w:hAnsi="宋体" w:cs="宋体"/>
                <w:kern w:val="0"/>
                <w:szCs w:val="21"/>
              </w:rPr>
              <w:t>度烧伤，面积大于等于全身体表面积的8%</w:t>
            </w:r>
          </w:p>
        </w:tc>
        <w:tc>
          <w:tcPr>
            <w:tcW w:w="1296" w:type="dxa"/>
            <w:tcBorders>
              <w:top w:val="single" w:color="auto" w:sz="4" w:space="0"/>
              <w:left w:val="single" w:color="auto" w:sz="4" w:space="0"/>
              <w:bottom w:val="single" w:color="auto" w:sz="4" w:space="0"/>
              <w:right w:val="single" w:color="auto" w:sz="4" w:space="0"/>
            </w:tcBorders>
            <w:vAlign w:val="center"/>
          </w:tcPr>
          <w:p>
            <w:pPr>
              <w:widowControl/>
              <w:contextualSpacing/>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90%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颈部皮肤损伤导致瘢痕形成，颈部活动度完全丧失</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80%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颈部皮肤损伤导致瘢痕形成，颈部活动度丧失大于等于</w:t>
            </w:r>
            <w:r>
              <w:rPr>
                <w:rFonts w:ascii="宋体" w:hAnsi="宋体" w:cs="宋体"/>
                <w:kern w:val="0"/>
                <w:szCs w:val="21"/>
              </w:rPr>
              <w:t>75%</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60%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tcBorders>
            <w:vAlign w:val="center"/>
          </w:tcPr>
          <w:p>
            <w:pPr>
              <w:widowControl/>
              <w:contextualSpacing/>
              <w:rPr>
                <w:rFonts w:ascii="宋体" w:hAnsi="宋体" w:cs="宋体"/>
                <w:kern w:val="0"/>
                <w:szCs w:val="21"/>
              </w:rPr>
            </w:pPr>
            <w:r>
              <w:rPr>
                <w:rFonts w:hint="eastAsia" w:ascii="宋体" w:hAnsi="宋体" w:cs="宋体"/>
                <w:kern w:val="0"/>
                <w:szCs w:val="21"/>
              </w:rPr>
              <w:t>头颈部Ⅲ</w:t>
            </w:r>
            <w:r>
              <w:rPr>
                <w:rFonts w:ascii="宋体" w:hAnsi="宋体" w:cs="宋体"/>
                <w:kern w:val="0"/>
                <w:szCs w:val="21"/>
              </w:rPr>
              <w:t>度烧伤，面积大于等于全身体表面积的5%，且小于8%</w:t>
            </w:r>
          </w:p>
        </w:tc>
        <w:tc>
          <w:tcPr>
            <w:tcW w:w="1296" w:type="dxa"/>
            <w:tcBorders>
              <w:bottom w:val="single" w:color="auto" w:sz="4" w:space="0"/>
            </w:tcBorders>
            <w:vAlign w:val="center"/>
          </w:tcPr>
          <w:p>
            <w:pPr>
              <w:widowControl/>
              <w:contextualSpacing/>
              <w:jc w:val="center"/>
              <w:rPr>
                <w:rFonts w:ascii="宋体" w:hAnsi="宋体" w:cs="宋体"/>
                <w:kern w:val="0"/>
                <w:szCs w:val="21"/>
              </w:rPr>
            </w:pPr>
            <w:r>
              <w:rPr>
                <w:rFonts w:hint="eastAsia" w:ascii="宋体" w:hAnsi="宋体" w:cs="宋体"/>
                <w:kern w:val="0"/>
                <w:szCs w:val="21"/>
              </w:rPr>
              <w:t>5</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颈部皮肤损伤导致瘢痕形成，颈部活动度丧失大于等于</w:t>
            </w:r>
            <w:r>
              <w:rPr>
                <w:rFonts w:ascii="宋体" w:hAnsi="宋体" w:cs="宋体"/>
                <w:kern w:val="0"/>
                <w:szCs w:val="21"/>
              </w:rPr>
              <w:t>50%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40%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20%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tcBorders>
            <w:vAlign w:val="center"/>
          </w:tcPr>
          <w:p>
            <w:pPr>
              <w:widowControl/>
              <w:contextualSpacing/>
              <w:rPr>
                <w:rFonts w:ascii="宋体" w:hAnsi="宋体" w:cs="宋体"/>
                <w:kern w:val="0"/>
                <w:szCs w:val="21"/>
              </w:rPr>
            </w:pPr>
            <w:r>
              <w:rPr>
                <w:rFonts w:hint="eastAsia" w:ascii="宋体" w:hAnsi="宋体" w:cs="宋体"/>
                <w:kern w:val="0"/>
                <w:szCs w:val="21"/>
              </w:rPr>
              <w:t>头部撕脱伤后导致头皮缺失，面积大于等于头皮面积的</w:t>
            </w:r>
            <w:r>
              <w:rPr>
                <w:rFonts w:ascii="宋体" w:hAnsi="宋体" w:cs="宋体"/>
                <w:kern w:val="0"/>
                <w:szCs w:val="21"/>
              </w:rPr>
              <w:t>20%</w:t>
            </w:r>
          </w:p>
        </w:tc>
        <w:tc>
          <w:tcPr>
            <w:tcW w:w="1296" w:type="dxa"/>
            <w:tcBorders>
              <w:bottom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颈部皮肤损伤导致颈前三角区瘢痕形成，且瘢痕面积大于等于颈前三角区面积的</w:t>
            </w:r>
            <w:r>
              <w:rPr>
                <w:rFonts w:ascii="宋体" w:hAnsi="宋体" w:cs="宋体"/>
                <w:kern w:val="0"/>
                <w:szCs w:val="21"/>
              </w:rPr>
              <w:t>75%</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24cm</w:t>
            </w:r>
            <w:r>
              <w:rPr>
                <w:rFonts w:ascii="宋体" w:hAnsi="宋体" w:cs="宋体"/>
                <w:kern w:val="0"/>
                <w:szCs w:val="21"/>
                <w:vertAlign w:val="superscript"/>
              </w:rPr>
              <w:t>2</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tcBorders>
            <w:vAlign w:val="center"/>
          </w:tcPr>
          <w:p>
            <w:pPr>
              <w:widowControl/>
              <w:contextualSpacing/>
              <w:rPr>
                <w:rFonts w:ascii="宋体" w:hAnsi="宋体" w:cs="宋体"/>
                <w:kern w:val="0"/>
                <w:szCs w:val="21"/>
              </w:rPr>
            </w:pPr>
            <w:r>
              <w:rPr>
                <w:rFonts w:hint="eastAsia" w:ascii="宋体" w:hAnsi="宋体" w:cs="宋体"/>
                <w:kern w:val="0"/>
                <w:szCs w:val="21"/>
              </w:rPr>
              <w:t>头颈部Ⅲ</w:t>
            </w:r>
            <w:r>
              <w:rPr>
                <w:rFonts w:ascii="宋体" w:hAnsi="宋体" w:cs="宋体"/>
                <w:kern w:val="0"/>
                <w:szCs w:val="21"/>
              </w:rPr>
              <w:t>度烧伤，面积大于等于全身体表面积的2%，且小于5%</w:t>
            </w:r>
          </w:p>
        </w:tc>
        <w:tc>
          <w:tcPr>
            <w:tcW w:w="1296" w:type="dxa"/>
            <w:tcBorders>
              <w:bottom w:val="single" w:color="auto" w:sz="4" w:space="0"/>
            </w:tcBorders>
            <w:vAlign w:val="center"/>
          </w:tcPr>
          <w:p>
            <w:pPr>
              <w:widowControl/>
              <w:contextualSpacing/>
              <w:jc w:val="center"/>
              <w:rPr>
                <w:rFonts w:ascii="宋体" w:hAnsi="宋体" w:cs="宋体"/>
                <w:kern w:val="0"/>
                <w:szCs w:val="21"/>
              </w:rPr>
            </w:pPr>
            <w:r>
              <w:rPr>
                <w:rFonts w:hint="eastAsia" w:ascii="宋体" w:hAnsi="宋体" w:cs="宋体"/>
                <w:kern w:val="0"/>
                <w:szCs w:val="21"/>
              </w:rPr>
              <w:t>8</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颈部皮肤损伤导致颈前三角区瘢痕形成，且瘢痕面积大于等于颈前三角区面积的</w:t>
            </w:r>
            <w:r>
              <w:rPr>
                <w:rFonts w:ascii="宋体" w:hAnsi="宋体" w:cs="宋体"/>
                <w:kern w:val="0"/>
                <w:szCs w:val="21"/>
              </w:rPr>
              <w:t>50%</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18cm</w:t>
            </w:r>
            <w:r>
              <w:rPr>
                <w:rFonts w:ascii="宋体" w:hAnsi="宋体" w:cs="宋体"/>
                <w:kern w:val="0"/>
                <w:szCs w:val="21"/>
                <w:vertAlign w:val="superscript"/>
              </w:rPr>
              <w:t>2</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12cm</w:t>
            </w:r>
            <w:r>
              <w:rPr>
                <w:rFonts w:ascii="宋体" w:hAnsi="宋体" w:cs="宋体"/>
                <w:kern w:val="0"/>
                <w:szCs w:val="21"/>
                <w:vertAlign w:val="superscript"/>
              </w:rPr>
              <w:t>2</w:t>
            </w:r>
            <w:r>
              <w:rPr>
                <w:rFonts w:hint="eastAsia" w:ascii="宋体" w:hAnsi="宋体" w:cs="宋体"/>
                <w:kern w:val="0"/>
                <w:szCs w:val="21"/>
              </w:rPr>
              <w:t>或面部线条状瘢痕大于等于</w:t>
            </w:r>
            <w:r>
              <w:rPr>
                <w:rFonts w:ascii="宋体" w:hAnsi="宋体" w:cs="宋体"/>
                <w:kern w:val="0"/>
                <w:szCs w:val="21"/>
              </w:rPr>
              <w:t>20cm</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436" w:type="dxa"/>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6cm</w:t>
            </w:r>
            <w:r>
              <w:rPr>
                <w:rFonts w:ascii="宋体" w:hAnsi="宋体" w:cs="宋体"/>
                <w:kern w:val="0"/>
                <w:szCs w:val="21"/>
                <w:vertAlign w:val="superscript"/>
              </w:rPr>
              <w:t>2</w:t>
            </w:r>
            <w:r>
              <w:rPr>
                <w:rFonts w:hint="eastAsia" w:ascii="宋体" w:hAnsi="宋体" w:cs="宋体"/>
                <w:kern w:val="0"/>
                <w:szCs w:val="21"/>
              </w:rPr>
              <w:t>或面部线条状瘢痕大于等于</w:t>
            </w:r>
            <w:r>
              <w:rPr>
                <w:rFonts w:ascii="宋体" w:hAnsi="宋体" w:cs="宋体"/>
                <w:kern w:val="0"/>
                <w:szCs w:val="21"/>
              </w:rPr>
              <w:t>10cm</w:t>
            </w:r>
          </w:p>
        </w:tc>
        <w:tc>
          <w:tcPr>
            <w:tcW w:w="1296" w:type="dxa"/>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ind w:left="2"/>
        <w:contextualSpacing/>
        <w:jc w:val="left"/>
        <w:rPr>
          <w:rFonts w:ascii="宋体" w:hAnsi="宋体"/>
          <w:kern w:val="0"/>
          <w:szCs w:val="21"/>
        </w:rPr>
      </w:pPr>
      <w:r>
        <w:rPr>
          <w:rFonts w:hint="eastAsia" w:ascii="宋体" w:hAnsi="宋体"/>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瘢痕：指创面愈合后的增生性瘢痕，不包括皮肤平整、无明显质地改变的萎缩性瘢痕或疤痕。</w:t>
      </w:r>
    </w:p>
    <w:p>
      <w:pPr>
        <w:widowControl/>
        <w:ind w:firstLine="417" w:firstLineChars="199"/>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面部的范围和瘢痕面积的计算：面部的范围指上至发际、下至下颌下缘、两侧至下颌支后缘之间的区域，包括额部、眼部、眶部、鼻部、口唇部、颏部、颧部、颊部和腮腺咬肌部。面部瘢痕面积的计算采用全面部和</w:t>
      </w:r>
      <w:r>
        <w:rPr>
          <w:rFonts w:ascii="宋体" w:hAnsi="宋体"/>
          <w:kern w:val="0"/>
          <w:szCs w:val="21"/>
        </w:rPr>
        <w:t>5等分面部以及实测瘢痕面积的方法，分别计算瘢痕面积。面部多处瘢痕，其面积可以累加计算。</w:t>
      </w:r>
    </w:p>
    <w:p>
      <w:pPr>
        <w:widowControl/>
        <w:ind w:firstLine="420" w:firstLineChars="200"/>
        <w:contextualSpacing/>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3 \* GB3 </w:instrText>
      </w:r>
      <w:r>
        <w:rPr>
          <w:rFonts w:ascii="宋体" w:hAnsi="宋体"/>
          <w:kern w:val="0"/>
          <w:szCs w:val="21"/>
        </w:rPr>
        <w:fldChar w:fldCharType="separate"/>
      </w:r>
      <w:r>
        <w:rPr>
          <w:rFonts w:hint="eastAsia" w:ascii="宋体" w:hAnsi="宋体"/>
          <w:kern w:val="0"/>
          <w:szCs w:val="21"/>
        </w:rPr>
        <w:t>③</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颈前三角区：两边为胸锁乳突肌前缘，底为舌骨体上缘及下颌骨下缘。</w:t>
      </w:r>
    </w:p>
    <w:p>
      <w:pPr>
        <w:widowControl/>
        <w:numPr>
          <w:ilvl w:val="1"/>
          <w:numId w:val="1"/>
        </w:numPr>
        <w:ind w:left="0" w:firstLine="0"/>
        <w:contextualSpacing/>
        <w:jc w:val="left"/>
        <w:outlineLvl w:val="2"/>
        <w:rPr>
          <w:rFonts w:ascii="宋体" w:hAnsi="宋体"/>
          <w:b/>
          <w:bCs/>
          <w:szCs w:val="21"/>
        </w:rPr>
      </w:pPr>
      <w:bookmarkStart w:id="68" w:name="_Toc356463503"/>
      <w:r>
        <w:rPr>
          <w:rFonts w:hint="eastAsia" w:ascii="宋体" w:hAnsi="宋体"/>
          <w:b/>
          <w:bCs/>
          <w:szCs w:val="21"/>
        </w:rPr>
        <w:t>各部位皮肤结构损伤和修复功能障碍</w:t>
      </w:r>
      <w:bookmarkEnd w:id="68"/>
    </w:p>
    <w:tbl>
      <w:tblPr>
        <w:tblStyle w:val="4"/>
        <w:tblW w:w="8732" w:type="dxa"/>
        <w:jc w:val="center"/>
        <w:tblLayout w:type="fixed"/>
        <w:tblCellMar>
          <w:top w:w="0" w:type="dxa"/>
          <w:left w:w="108" w:type="dxa"/>
          <w:bottom w:w="0" w:type="dxa"/>
          <w:right w:w="108" w:type="dxa"/>
        </w:tblCellMar>
      </w:tblPr>
      <w:tblGrid>
        <w:gridCol w:w="7436"/>
        <w:gridCol w:w="1296"/>
      </w:tblGrid>
      <w:tr>
        <w:tblPrEx>
          <w:tblCellMar>
            <w:top w:w="0" w:type="dxa"/>
            <w:left w:w="108" w:type="dxa"/>
            <w:bottom w:w="0" w:type="dxa"/>
            <w:right w:w="108" w:type="dxa"/>
          </w:tblCellMar>
        </w:tblPrEx>
        <w:trPr>
          <w:trHeight w:val="64" w:hRule="atLeast"/>
          <w:jc w:val="center"/>
        </w:trPr>
        <w:tc>
          <w:tcPr>
            <w:tcW w:w="7436" w:type="dxa"/>
            <w:tcBorders>
              <w:top w:val="single" w:color="auto" w:sz="4" w:space="0"/>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90%</w:t>
            </w:r>
          </w:p>
        </w:tc>
        <w:tc>
          <w:tcPr>
            <w:tcW w:w="1296"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CellMar>
            <w:top w:w="0" w:type="dxa"/>
            <w:left w:w="108" w:type="dxa"/>
            <w:bottom w:w="0" w:type="dxa"/>
            <w:right w:w="108" w:type="dxa"/>
          </w:tblCellMar>
        </w:tblPrEx>
        <w:trPr>
          <w:trHeight w:val="119"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6</w:t>
            </w:r>
            <w:r>
              <w:rPr>
                <w:rFonts w:ascii="宋体" w:hAnsi="宋体" w:cs="宋体"/>
                <w:kern w:val="0"/>
                <w:szCs w:val="21"/>
              </w:rPr>
              <w:t>0%</w:t>
            </w:r>
          </w:p>
        </w:tc>
        <w:tc>
          <w:tcPr>
            <w:tcW w:w="1296" w:type="dxa"/>
            <w:tcBorders>
              <w:top w:val="single" w:color="auto" w:sz="4" w:space="0"/>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CellMar>
            <w:top w:w="0" w:type="dxa"/>
            <w:left w:w="108" w:type="dxa"/>
            <w:bottom w:w="0" w:type="dxa"/>
            <w:right w:w="108" w:type="dxa"/>
          </w:tblCellMar>
        </w:tblPrEx>
        <w:trPr>
          <w:trHeight w:val="196"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80%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70%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4</w:t>
            </w:r>
            <w:r>
              <w:rPr>
                <w:rFonts w:ascii="宋体" w:hAnsi="宋体" w:cs="宋体"/>
                <w:kern w:val="0"/>
                <w:szCs w:val="21"/>
              </w:rPr>
              <w:t>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hint="eastAsia" w:ascii="宋体" w:hAnsi="宋体" w:cs="宋体"/>
                <w:kern w:val="0"/>
                <w:szCs w:val="21"/>
              </w:rPr>
              <w:t>3</w:t>
            </w:r>
            <w:r>
              <w:rPr>
                <w:rFonts w:ascii="宋体" w:hAnsi="宋体" w:cs="宋体"/>
                <w:kern w:val="0"/>
                <w:szCs w:val="21"/>
              </w:rPr>
              <w:t>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60%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CellMar>
            <w:top w:w="0" w:type="dxa"/>
            <w:left w:w="108" w:type="dxa"/>
            <w:bottom w:w="0" w:type="dxa"/>
            <w:right w:w="108" w:type="dxa"/>
          </w:tblCellMar>
        </w:tblPrEx>
        <w:trPr>
          <w:trHeight w:val="255"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50%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2</w:t>
            </w:r>
            <w:r>
              <w:rPr>
                <w:rFonts w:ascii="宋体" w:hAnsi="宋体" w:cs="宋体"/>
                <w:kern w:val="0"/>
                <w:szCs w:val="21"/>
              </w:rPr>
              <w:t>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hint="eastAsia" w:ascii="宋体" w:hAnsi="宋体" w:cs="宋体"/>
                <w:kern w:val="0"/>
                <w:szCs w:val="21"/>
              </w:rPr>
              <w:t>5</w:t>
            </w:r>
            <w:r>
              <w:rPr>
                <w:rFonts w:ascii="宋体" w:hAnsi="宋体" w:cs="宋体"/>
                <w:kern w:val="0"/>
                <w:szCs w:val="21"/>
              </w:rPr>
              <w:t>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40%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腹部损伤导致腹壁缺损面积大于等于腹壁面积的</w:t>
            </w:r>
            <w:r>
              <w:rPr>
                <w:rFonts w:ascii="宋体" w:hAnsi="宋体" w:cs="宋体"/>
                <w:kern w:val="0"/>
                <w:szCs w:val="21"/>
              </w:rPr>
              <w:t>25%</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CellMar>
            <w:top w:w="0" w:type="dxa"/>
            <w:left w:w="108" w:type="dxa"/>
            <w:bottom w:w="0" w:type="dxa"/>
            <w:right w:w="108" w:type="dxa"/>
          </w:tblCellMar>
        </w:tblPrEx>
        <w:trPr>
          <w:trHeight w:val="227"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30%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1</w:t>
            </w:r>
            <w:r>
              <w:rPr>
                <w:rFonts w:ascii="宋体" w:hAnsi="宋体" w:cs="宋体"/>
                <w:kern w:val="0"/>
                <w:szCs w:val="21"/>
              </w:rPr>
              <w:t>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CellMar>
            <w:top w:w="0" w:type="dxa"/>
            <w:left w:w="108" w:type="dxa"/>
            <w:bottom w:w="0" w:type="dxa"/>
            <w:right w:w="108" w:type="dxa"/>
          </w:tblCellMar>
        </w:tblPrEx>
        <w:trPr>
          <w:trHeight w:val="177"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20%</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vAlign w:val="top"/>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5%</w:t>
            </w:r>
          </w:p>
        </w:tc>
        <w:tc>
          <w:tcPr>
            <w:tcW w:w="1296" w:type="dxa"/>
            <w:tcBorders>
              <w:top w:val="nil"/>
              <w:left w:val="nil"/>
              <w:bottom w:val="single" w:color="auto" w:sz="4" w:space="0"/>
              <w:right w:val="single" w:color="auto" w:sz="4" w:space="0"/>
            </w:tcBorders>
            <w:vAlign w:val="center"/>
          </w:tcPr>
          <w:p>
            <w:pPr>
              <w:widowControl/>
              <w:contextualSpacing/>
              <w:jc w:val="center"/>
              <w:rPr>
                <w:rFonts w:ascii="宋体" w:hAnsi="宋体" w:cs="宋体"/>
                <w:kern w:val="0"/>
                <w:szCs w:val="21"/>
              </w:rPr>
            </w:pPr>
            <w:r>
              <w:rPr>
                <w:rFonts w:ascii="宋体" w:hAnsi="宋体" w:cs="宋体"/>
                <w:kern w:val="0"/>
                <w:szCs w:val="21"/>
              </w:rPr>
              <w:t>9级</w:t>
            </w:r>
          </w:p>
        </w:tc>
      </w:tr>
    </w:tbl>
    <w:p>
      <w:pPr>
        <w:widowControl/>
        <w:ind w:left="2"/>
        <w:contextualSpacing/>
        <w:jc w:val="left"/>
        <w:rPr>
          <w:rFonts w:ascii="宋体" w:hAnsi="宋体"/>
          <w:kern w:val="0"/>
          <w:szCs w:val="21"/>
        </w:rPr>
      </w:pPr>
      <w:r>
        <w:rPr>
          <w:rFonts w:hint="eastAsia" w:ascii="宋体" w:hAnsi="宋体"/>
          <w:kern w:val="0"/>
          <w:szCs w:val="21"/>
        </w:rPr>
        <w:t>注：</w:t>
      </w: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全身皮肤瘢痕面积的计算：按皮肤瘢痕面积占全身体表面积的百分数来计算，即中国新九分法：在</w:t>
      </w:r>
      <w:r>
        <w:rPr>
          <w:rFonts w:ascii="宋体" w:hAnsi="宋体"/>
          <w:kern w:val="0"/>
          <w:szCs w:val="21"/>
        </w:rPr>
        <w:t>100%的体表总面积中：头颈部占9%（9×1）（头部、面部、颈部各占3%）；双上肢占18%（9×2）（双上臂7%，双前臂6%，双手5%）；躯干前后包括会阴占27%（9×3）（前躯13%，后躯13%，会阴1%）；双下肢（含臀部）占46%（双臀5%，双大腿21%，双小腿13%，双足7%）（9×5+1）（女性双足和臀各占6%）。</w:t>
      </w:r>
    </w:p>
    <w:p>
      <w:pPr>
        <w:widowControl/>
        <w:ind w:firstLine="417" w:firstLineChars="199"/>
        <w:contextualSpacing/>
        <w:jc w:val="left"/>
        <w:rPr>
          <w:rStyle w:val="14"/>
          <w:rFonts w:hint="eastAsia" w:ascii="宋体" w:hAnsi="宋体"/>
          <w:kern w:val="0"/>
          <w:sz w:val="21"/>
          <w:szCs w:val="21"/>
        </w:rPr>
      </w:pPr>
      <w:r>
        <w:rPr>
          <w:rFonts w:ascii="宋体" w:hAnsi="宋体"/>
          <w:kern w:val="0"/>
          <w:szCs w:val="21"/>
        </w:rPr>
        <w:fldChar w:fldCharType="begin"/>
      </w:r>
      <w:r>
        <w:rPr>
          <w:rFonts w:ascii="宋体" w:hAnsi="宋体"/>
          <w:kern w:val="0"/>
          <w:szCs w:val="21"/>
        </w:rPr>
        <w:instrText xml:space="preserve"> = 2 \* GB3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szCs w:val="21"/>
        </w:rPr>
        <w:t xml:space="preserve"> </w:t>
      </w:r>
      <w:r>
        <w:rPr>
          <w:rFonts w:hint="eastAsia" w:ascii="宋体" w:hAnsi="宋体"/>
          <w:kern w:val="0"/>
          <w:szCs w:val="21"/>
        </w:rPr>
        <w:t>烧伤面积和烧伤深度：烧伤面积的计算按中国新九分法，烧伤深度按三度四分法。</w:t>
      </w:r>
      <w:r>
        <w:rPr>
          <w:rFonts w:hint="eastAsia" w:ascii="宋体" w:hAnsi="宋体" w:cs="宋体"/>
          <w:kern w:val="0"/>
          <w:szCs w:val="21"/>
        </w:rPr>
        <w:t>Ⅲ</w:t>
      </w:r>
      <w:r>
        <w:rPr>
          <w:rFonts w:ascii="宋体" w:hAnsi="宋体"/>
          <w:kern w:val="0"/>
          <w:szCs w:val="21"/>
        </w:rPr>
        <w:t>度烧伤指烧伤深达皮肤</w:t>
      </w:r>
      <w:r>
        <w:rPr>
          <w:rFonts w:hint="eastAsia" w:ascii="宋体" w:hAnsi="宋体"/>
          <w:kern w:val="0"/>
          <w:szCs w:val="21"/>
        </w:rPr>
        <w:t>全层甚至达到皮下、肌肉和骨骼。烧伤事故不包括冻伤、吸入性损伤（又称呼吸道烧伤）和电击伤。烧伤后按烧伤面积、深度评定伤残等级，待医疗终结后，可以依据造成的功能障碍程度、皮肤瘢痕面积大小评定伤残等级，最终的伤残等级以严重者为准。</w:t>
      </w:r>
    </w:p>
    <w:p/>
    <w:sectPr>
      <w:headerReference r:id="rId3" w:type="default"/>
      <w:footerReference r:id="rId4" w:type="default"/>
      <w:footerReference r:id="rId5"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rPr>
                              <w:rFonts w:hint="eastAsia"/>
                              <w:lang w:eastAsia="zh-CN"/>
                            </w:rPr>
                            <w:t>第</w:t>
                          </w:r>
                          <w:r>
                            <w:rPr>
                              <w:lang w:val="zh-CN"/>
                            </w:rPr>
                            <w:t xml:space="preserve"> </w:t>
                          </w:r>
                          <w:r>
                            <w:rPr>
                              <w:b/>
                              <w:sz w:val="24"/>
                              <w:szCs w:val="24"/>
                            </w:rPr>
                            <w:fldChar w:fldCharType="begin"/>
                          </w:r>
                          <w:r>
                            <w:rPr>
                              <w:b/>
                            </w:rPr>
                            <w:instrText xml:space="preserve">PAGE</w:instrText>
                          </w:r>
                          <w:r>
                            <w:rPr>
                              <w:b/>
                              <w:sz w:val="24"/>
                              <w:szCs w:val="24"/>
                            </w:rPr>
                            <w:fldChar w:fldCharType="separate"/>
                          </w:r>
                          <w:r>
                            <w:rPr>
                              <w:b/>
                            </w:rPr>
                            <w:t>21</w:t>
                          </w:r>
                          <w:r>
                            <w:rPr>
                              <w:b/>
                              <w:sz w:val="24"/>
                              <w:szCs w:val="24"/>
                            </w:rPr>
                            <w:fldChar w:fldCharType="end"/>
                          </w:r>
                          <w:r>
                            <w:rPr>
                              <w:lang w:val="zh-CN"/>
                            </w:rPr>
                            <w:t xml:space="preserve"> </w:t>
                          </w:r>
                          <w:r>
                            <w:rPr>
                              <w:rFonts w:hint="eastAsia"/>
                              <w:lang w:val="zh-CN" w:eastAsia="zh-CN"/>
                            </w:rPr>
                            <w:t>页  共</w:t>
                          </w:r>
                          <w:r>
                            <w:rPr>
                              <w:lang w:val="zh-CN"/>
                            </w:rPr>
                            <w:t xml:space="preserve">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r>
                            <w:rPr>
                              <w:rFonts w:hint="eastAsia"/>
                              <w:lang w:eastAsia="zh-CN"/>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jc w:val="center"/>
                    </w:pPr>
                    <w:r>
                      <w:rPr>
                        <w:rFonts w:hint="eastAsia"/>
                        <w:lang w:eastAsia="zh-CN"/>
                      </w:rPr>
                      <w:t>第</w:t>
                    </w:r>
                    <w:r>
                      <w:rPr>
                        <w:lang w:val="zh-CN"/>
                      </w:rPr>
                      <w:t xml:space="preserve"> </w:t>
                    </w:r>
                    <w:r>
                      <w:rPr>
                        <w:b/>
                        <w:sz w:val="24"/>
                        <w:szCs w:val="24"/>
                      </w:rPr>
                      <w:fldChar w:fldCharType="begin"/>
                    </w:r>
                    <w:r>
                      <w:rPr>
                        <w:b/>
                      </w:rPr>
                      <w:instrText xml:space="preserve">PAGE</w:instrText>
                    </w:r>
                    <w:r>
                      <w:rPr>
                        <w:b/>
                        <w:sz w:val="24"/>
                        <w:szCs w:val="24"/>
                      </w:rPr>
                      <w:fldChar w:fldCharType="separate"/>
                    </w:r>
                    <w:r>
                      <w:rPr>
                        <w:b/>
                      </w:rPr>
                      <w:t>21</w:t>
                    </w:r>
                    <w:r>
                      <w:rPr>
                        <w:b/>
                        <w:sz w:val="24"/>
                        <w:szCs w:val="24"/>
                      </w:rPr>
                      <w:fldChar w:fldCharType="end"/>
                    </w:r>
                    <w:r>
                      <w:rPr>
                        <w:lang w:val="zh-CN"/>
                      </w:rPr>
                      <w:t xml:space="preserve"> </w:t>
                    </w:r>
                    <w:r>
                      <w:rPr>
                        <w:rFonts w:hint="eastAsia"/>
                        <w:lang w:val="zh-CN" w:eastAsia="zh-CN"/>
                      </w:rPr>
                      <w:t>页  共</w:t>
                    </w:r>
                    <w:r>
                      <w:rPr>
                        <w:lang w:val="zh-CN"/>
                      </w:rPr>
                      <w:t xml:space="preserve">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r>
                      <w:rPr>
                        <w:rFonts w:hint="eastAsia"/>
                        <w:lang w:eastAsia="zh-CN"/>
                      </w:rPr>
                      <w:t>页</w:t>
                    </w:r>
                  </w:p>
                </w:txbxContent>
              </v:textbox>
            </v:shape>
          </w:pict>
        </mc:Fallback>
      </mc:AlternateContent>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74E5B"/>
    <w:multiLevelType w:val="multilevel"/>
    <w:tmpl w:val="20B74E5B"/>
    <w:lvl w:ilvl="0" w:tentative="0">
      <w:start w:val="1"/>
      <w:numFmt w:val="decimal"/>
      <w:lvlText w:val="%1"/>
      <w:lvlJc w:val="left"/>
      <w:pPr>
        <w:ind w:left="425" w:hanging="425"/>
      </w:pPr>
    </w:lvl>
    <w:lvl w:ilvl="1" w:tentative="0">
      <w:start w:val="1"/>
      <w:numFmt w:val="decimal"/>
      <w:lvlText w:val="%1.%2"/>
      <w:lvlJc w:val="left"/>
      <w:pPr>
        <w:ind w:left="993"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84EF8"/>
    <w:rsid w:val="09813DF0"/>
    <w:rsid w:val="0D730E00"/>
    <w:rsid w:val="0EFA68D1"/>
    <w:rsid w:val="194C18EC"/>
    <w:rsid w:val="1A514BC8"/>
    <w:rsid w:val="1B5615C1"/>
    <w:rsid w:val="1D064070"/>
    <w:rsid w:val="1D525C0C"/>
    <w:rsid w:val="1E037137"/>
    <w:rsid w:val="205404B6"/>
    <w:rsid w:val="20B76D2C"/>
    <w:rsid w:val="24D960B3"/>
    <w:rsid w:val="271B5D23"/>
    <w:rsid w:val="2F8B0FD7"/>
    <w:rsid w:val="3188279D"/>
    <w:rsid w:val="32A0461A"/>
    <w:rsid w:val="358B3F99"/>
    <w:rsid w:val="364516FB"/>
    <w:rsid w:val="3F6C009D"/>
    <w:rsid w:val="407D06CB"/>
    <w:rsid w:val="41DE5D70"/>
    <w:rsid w:val="43E13DA1"/>
    <w:rsid w:val="465E5AAB"/>
    <w:rsid w:val="4A770F94"/>
    <w:rsid w:val="4B201727"/>
    <w:rsid w:val="4BD439DB"/>
    <w:rsid w:val="51CF41C3"/>
    <w:rsid w:val="55964135"/>
    <w:rsid w:val="5B745E55"/>
    <w:rsid w:val="5C262DA5"/>
    <w:rsid w:val="64F361D4"/>
    <w:rsid w:val="65D34182"/>
    <w:rsid w:val="66D66F52"/>
    <w:rsid w:val="77CD6ACF"/>
    <w:rsid w:val="7BF5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条款正文"/>
    <w:basedOn w:val="1"/>
    <w:qFormat/>
    <w:uiPriority w:val="0"/>
    <w:pPr>
      <w:adjustRightInd w:val="0"/>
      <w:snapToGrid w:val="0"/>
      <w:ind w:left="840" w:leftChars="400" w:firstLine="420" w:firstLineChars="200"/>
    </w:pPr>
  </w:style>
  <w:style w:type="character" w:customStyle="1" w:styleId="8">
    <w:name w:val="apple-style-span"/>
    <w:basedOn w:val="5"/>
    <w:qFormat/>
    <w:uiPriority w:val="0"/>
  </w:style>
  <w:style w:type="paragraph" w:customStyle="1" w:styleId="9">
    <w:name w:val="条款标题"/>
    <w:basedOn w:val="7"/>
    <w:qFormat/>
    <w:uiPriority w:val="0"/>
    <w:pPr>
      <w:tabs>
        <w:tab w:val="left" w:pos="840"/>
      </w:tabs>
      <w:ind w:left="0" w:leftChars="0" w:firstLine="0" w:firstLineChars="0"/>
    </w:pPr>
    <w:rPr>
      <w:b/>
    </w:rPr>
  </w:style>
  <w:style w:type="character" w:customStyle="1" w:styleId="10">
    <w:name w:val=" Char Char4"/>
    <w:qFormat/>
    <w:uiPriority w:val="0"/>
    <w:rPr>
      <w:rFonts w:ascii="Cambria" w:hAnsi="Cambria" w:eastAsia="宋体"/>
      <w:b/>
      <w:bCs/>
      <w:kern w:val="2"/>
      <w:sz w:val="32"/>
      <w:szCs w:val="32"/>
      <w:lang w:val="en-US" w:eastAsia="zh-CN" w:bidi="ar-SA"/>
    </w:rPr>
  </w:style>
  <w:style w:type="paragraph" w:customStyle="1" w:styleId="11">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2">
    <w:name w:val="Body Text 2"/>
    <w:basedOn w:val="1"/>
    <w:qFormat/>
    <w:uiPriority w:val="0"/>
    <w:pPr>
      <w:adjustRightInd w:val="0"/>
      <w:ind w:firstLine="552"/>
      <w:jc w:val="left"/>
      <w:textAlignment w:val="baseline"/>
    </w:pPr>
    <w:rPr>
      <w:rFonts w:ascii="宋体"/>
      <w:kern w:val="0"/>
      <w:sz w:val="28"/>
      <w:szCs w:val="20"/>
    </w:rPr>
  </w:style>
  <w:style w:type="character" w:customStyle="1" w:styleId="13">
    <w:name w:val=" Char Char"/>
    <w:qFormat/>
    <w:uiPriority w:val="0"/>
    <w:rPr>
      <w:rFonts w:ascii="Cambria" w:hAnsi="Cambria" w:eastAsia="宋体"/>
      <w:b/>
      <w:bCs/>
      <w:kern w:val="28"/>
      <w:sz w:val="32"/>
      <w:szCs w:val="32"/>
      <w:lang w:val="en-US" w:eastAsia="zh-CN" w:bidi="ar-SA"/>
    </w:rPr>
  </w:style>
  <w:style w:type="character" w:customStyle="1" w:styleId="14">
    <w:name w:val="9pblue1"/>
    <w:qFormat/>
    <w:uiPriority w:val="0"/>
    <w:rPr>
      <w:rFonts w:hint="default" w:ascii="Verdana" w:hAnsi="Verdana"/>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Legendary</cp:lastModifiedBy>
  <cp:lastPrinted>2021-01-27T05:09:00Z</cp:lastPrinted>
  <dcterms:modified xsi:type="dcterms:W3CDTF">2022-03-29T01:41:58Z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49521E79418E414D9995A41BDD5AB0DD</vt:lpwstr>
  </property>
</Properties>
</file>